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heme="majorEastAsia" w:hAnsiTheme="majorEastAsia" w:eastAsiaTheme="majorEastAsia"/>
          <w:b/>
          <w:sz w:val="44"/>
          <w:szCs w:val="44"/>
        </w:rPr>
      </w:pPr>
      <w:r>
        <w:rPr>
          <w:rFonts w:hint="eastAsia" w:asciiTheme="majorEastAsia" w:hAnsiTheme="majorEastAsia" w:eastAsiaTheme="majorEastAsia"/>
          <w:b/>
          <w:sz w:val="44"/>
          <w:szCs w:val="44"/>
        </w:rPr>
        <w:t>龙井市人民法院</w:t>
      </w:r>
    </w:p>
    <w:p>
      <w:pPr>
        <w:jc w:val="center"/>
        <w:outlineLvl w:val="0"/>
        <w:rPr>
          <w:rFonts w:asciiTheme="majorEastAsia" w:hAnsiTheme="majorEastAsia" w:eastAsiaTheme="majorEastAsia"/>
          <w:b/>
          <w:sz w:val="44"/>
          <w:szCs w:val="44"/>
        </w:rPr>
      </w:pPr>
      <w:r>
        <w:rPr>
          <w:rFonts w:hint="eastAsia" w:asciiTheme="majorEastAsia" w:hAnsiTheme="majorEastAsia" w:eastAsiaTheme="majorEastAsia"/>
          <w:b/>
          <w:sz w:val="44"/>
          <w:szCs w:val="44"/>
          <w:lang w:val="en-US" w:eastAsia="zh-CN"/>
        </w:rPr>
        <w:t>3季度</w:t>
      </w:r>
      <w:bookmarkStart w:id="1" w:name="_GoBack"/>
      <w:bookmarkEnd w:id="1"/>
      <w:r>
        <w:rPr>
          <w:rFonts w:hint="eastAsia" w:asciiTheme="majorEastAsia" w:hAnsiTheme="majorEastAsia" w:eastAsiaTheme="majorEastAsia"/>
          <w:b/>
          <w:sz w:val="44"/>
          <w:szCs w:val="44"/>
        </w:rPr>
        <w:t>审判运行态势分析报告</w:t>
      </w:r>
    </w:p>
    <w:p>
      <w:pPr>
        <w:ind w:firstLine="643" w:firstLineChars="200"/>
        <w:outlineLvl w:val="0"/>
        <w:rPr>
          <w:rFonts w:hint="eastAsia" w:ascii="黑体" w:hAnsi="黑体" w:eastAsia="黑体"/>
          <w:b/>
          <w:sz w:val="32"/>
          <w:szCs w:val="32"/>
        </w:rPr>
      </w:pPr>
    </w:p>
    <w:p>
      <w:pPr>
        <w:ind w:firstLine="643" w:firstLineChars="200"/>
        <w:outlineLvl w:val="0"/>
        <w:rPr>
          <w:rFonts w:ascii="黑体" w:hAnsi="黑体" w:eastAsia="黑体"/>
          <w:b/>
          <w:sz w:val="32"/>
          <w:szCs w:val="32"/>
        </w:rPr>
      </w:pPr>
      <w:r>
        <w:rPr>
          <w:rFonts w:hint="eastAsia" w:ascii="黑体" w:hAnsi="黑体" w:eastAsia="黑体"/>
          <w:b/>
          <w:sz w:val="32"/>
          <w:szCs w:val="32"/>
        </w:rPr>
        <w:t>一、收、结案情况</w:t>
      </w:r>
    </w:p>
    <w:p>
      <w:pPr>
        <w:ind w:firstLine="640"/>
        <w:rPr>
          <w:rFonts w:ascii="仿宋_GB2312" w:hAnsi="仿宋_GB2312" w:eastAsia="仿宋_GB2312"/>
          <w:sz w:val="32"/>
          <w:szCs w:val="32"/>
        </w:rPr>
      </w:pPr>
      <w:r>
        <w:rPr>
          <w:rFonts w:hint="eastAsia" w:ascii="仿宋_GB2312" w:hAnsi="仿宋_GB2312" w:eastAsia="仿宋_GB2312"/>
          <w:sz w:val="32"/>
          <w:szCs w:val="32"/>
        </w:rPr>
        <w:t>全院共受理各类诉讼案件共1</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26件。其中，旧存194件，新收</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32件。比去年同期减少2</w:t>
      </w:r>
      <w:r>
        <w:rPr>
          <w:rFonts w:hint="eastAsia" w:ascii="仿宋_GB2312" w:hAnsi="仿宋_GB2312" w:eastAsia="仿宋_GB2312"/>
          <w:sz w:val="32"/>
          <w:szCs w:val="32"/>
          <w:lang w:val="en-US" w:eastAsia="zh-CN"/>
        </w:rPr>
        <w:t>29</w:t>
      </w:r>
      <w:r>
        <w:rPr>
          <w:rFonts w:hint="eastAsia" w:ascii="仿宋_GB2312" w:hAnsi="仿宋_GB2312" w:eastAsia="仿宋_GB2312"/>
          <w:sz w:val="32"/>
          <w:szCs w:val="32"/>
        </w:rPr>
        <w:t>件，同比下降</w:t>
      </w:r>
      <w:r>
        <w:rPr>
          <w:rFonts w:hint="eastAsia" w:ascii="仿宋_GB2312" w:hAnsi="仿宋_GB2312" w:eastAsia="仿宋_GB2312"/>
          <w:sz w:val="32"/>
          <w:szCs w:val="32"/>
          <w:lang w:val="en-US" w:eastAsia="zh-CN"/>
        </w:rPr>
        <w:t>19.72</w:t>
      </w:r>
      <w:r>
        <w:rPr>
          <w:rFonts w:hint="eastAsia" w:ascii="仿宋_GB2312" w:hAnsi="仿宋_GB2312" w:eastAsia="仿宋_GB2312"/>
          <w:sz w:val="32"/>
          <w:szCs w:val="32"/>
        </w:rPr>
        <w:t>%（去年同期1</w:t>
      </w:r>
      <w:r>
        <w:rPr>
          <w:rFonts w:hint="eastAsia" w:ascii="仿宋_GB2312" w:hAnsi="仿宋_GB2312" w:eastAsia="仿宋_GB2312"/>
          <w:sz w:val="32"/>
          <w:szCs w:val="32"/>
          <w:lang w:val="en-US" w:eastAsia="zh-CN"/>
        </w:rPr>
        <w:t>161</w:t>
      </w:r>
      <w:r>
        <w:rPr>
          <w:rFonts w:hint="eastAsia" w:ascii="仿宋_GB2312" w:hAnsi="仿宋_GB2312" w:eastAsia="仿宋_GB2312"/>
          <w:sz w:val="32"/>
          <w:szCs w:val="32"/>
        </w:rPr>
        <w:t>件）。共结案</w:t>
      </w:r>
      <w:r>
        <w:rPr>
          <w:rFonts w:hint="eastAsia" w:ascii="仿宋_GB2312" w:hAnsi="仿宋_GB2312" w:eastAsia="仿宋_GB2312"/>
          <w:sz w:val="32"/>
          <w:szCs w:val="32"/>
          <w:lang w:val="en-US" w:eastAsia="zh-CN"/>
        </w:rPr>
        <w:t>949</w:t>
      </w:r>
      <w:r>
        <w:rPr>
          <w:rFonts w:hint="eastAsia" w:ascii="仿宋_GB2312" w:hAnsi="仿宋_GB2312" w:eastAsia="仿宋_GB2312"/>
          <w:sz w:val="32"/>
          <w:szCs w:val="32"/>
        </w:rPr>
        <w:t>件，比去年同期减少</w:t>
      </w:r>
      <w:r>
        <w:rPr>
          <w:rFonts w:hint="eastAsia" w:ascii="仿宋_GB2312" w:hAnsi="仿宋_GB2312" w:eastAsia="仿宋_GB2312"/>
          <w:sz w:val="32"/>
          <w:szCs w:val="32"/>
          <w:lang w:val="en-US" w:eastAsia="zh-CN"/>
        </w:rPr>
        <w:t>79</w:t>
      </w:r>
      <w:r>
        <w:rPr>
          <w:rFonts w:hint="eastAsia" w:ascii="仿宋_GB2312" w:hAnsi="仿宋_GB2312" w:eastAsia="仿宋_GB2312"/>
          <w:sz w:val="32"/>
          <w:szCs w:val="32"/>
        </w:rPr>
        <w:t>件，同比下降</w:t>
      </w:r>
      <w:r>
        <w:rPr>
          <w:rFonts w:hint="eastAsia" w:ascii="仿宋_GB2312" w:hAnsi="仿宋_GB2312" w:eastAsia="仿宋_GB2312"/>
          <w:sz w:val="32"/>
          <w:szCs w:val="32"/>
          <w:lang w:val="en-US" w:eastAsia="zh-CN"/>
        </w:rPr>
        <w:t>7.68</w:t>
      </w:r>
      <w:r>
        <w:rPr>
          <w:rFonts w:hint="eastAsia" w:ascii="仿宋_GB2312" w:hAnsi="仿宋_GB2312" w:eastAsia="仿宋_GB2312"/>
          <w:sz w:val="32"/>
          <w:szCs w:val="32"/>
        </w:rPr>
        <w:t>%（去年同期</w:t>
      </w:r>
      <w:r>
        <w:rPr>
          <w:rFonts w:hint="eastAsia" w:ascii="仿宋_GB2312" w:hAnsi="仿宋_GB2312" w:eastAsia="仿宋_GB2312"/>
          <w:sz w:val="32"/>
          <w:szCs w:val="32"/>
          <w:lang w:val="en-US" w:eastAsia="zh-CN"/>
        </w:rPr>
        <w:t>1028</w:t>
      </w:r>
      <w:r>
        <w:rPr>
          <w:rFonts w:hint="eastAsia" w:ascii="仿宋_GB2312" w:hAnsi="仿宋_GB2312" w:eastAsia="仿宋_GB2312"/>
          <w:sz w:val="32"/>
          <w:szCs w:val="32"/>
        </w:rPr>
        <w:t>件）。我院总体结案率为</w:t>
      </w:r>
      <w:r>
        <w:rPr>
          <w:rFonts w:hint="eastAsia" w:ascii="仿宋_GB2312" w:hAnsi="仿宋_GB2312" w:eastAsia="仿宋_GB2312"/>
          <w:sz w:val="32"/>
          <w:szCs w:val="32"/>
          <w:lang w:val="en-US" w:eastAsia="zh-CN"/>
        </w:rPr>
        <w:t>84.28</w:t>
      </w:r>
      <w:r>
        <w:rPr>
          <w:rFonts w:hint="eastAsia" w:ascii="仿宋_GB2312" w:hAnsi="仿宋_GB2312" w:eastAsia="仿宋_GB2312"/>
          <w:sz w:val="32"/>
          <w:szCs w:val="32"/>
        </w:rPr>
        <w:t>%，同比上升</w:t>
      </w:r>
      <w:r>
        <w:rPr>
          <w:rFonts w:hint="eastAsia" w:ascii="仿宋_GB2312" w:hAnsi="仿宋_GB2312" w:eastAsia="仿宋_GB2312"/>
          <w:sz w:val="32"/>
          <w:szCs w:val="32"/>
          <w:lang w:val="en-US" w:eastAsia="zh-CN"/>
        </w:rPr>
        <w:t>1.5</w:t>
      </w:r>
      <w:r>
        <w:rPr>
          <w:rFonts w:hint="eastAsia" w:ascii="仿宋_GB2312" w:hAnsi="仿宋_GB2312" w:eastAsia="仿宋_GB2312"/>
          <w:sz w:val="32"/>
          <w:szCs w:val="32"/>
        </w:rPr>
        <w:t>1%(去年结案率为</w:t>
      </w:r>
      <w:r>
        <w:rPr>
          <w:rFonts w:hint="eastAsia" w:ascii="仿宋_GB2312" w:hAnsi="仿宋_GB2312" w:eastAsia="仿宋_GB2312"/>
          <w:sz w:val="32"/>
          <w:szCs w:val="32"/>
          <w:lang w:val="en-US" w:eastAsia="zh-CN"/>
        </w:rPr>
        <w:t>82.77</w:t>
      </w:r>
      <w:r>
        <w:rPr>
          <w:rFonts w:hint="eastAsia" w:ascii="仿宋_GB2312" w:hAnsi="仿宋_GB2312" w:eastAsia="仿宋_GB2312"/>
          <w:sz w:val="32"/>
          <w:szCs w:val="32"/>
        </w:rPr>
        <w:t>%）。审限内</w:t>
      </w:r>
      <w:r>
        <w:rPr>
          <w:rFonts w:ascii="仿宋_GB2312" w:hAnsi="仿宋_GB2312" w:eastAsia="仿宋_GB2312"/>
          <w:sz w:val="32"/>
          <w:szCs w:val="32"/>
        </w:rPr>
        <w:t>结案率</w:t>
      </w:r>
      <w:r>
        <w:rPr>
          <w:rFonts w:hint="eastAsia" w:ascii="仿宋_GB2312" w:hAnsi="仿宋_GB2312" w:eastAsia="仿宋_GB2312"/>
          <w:sz w:val="32"/>
          <w:szCs w:val="32"/>
        </w:rPr>
        <w:t>99.</w:t>
      </w:r>
      <w:r>
        <w:rPr>
          <w:rFonts w:hint="eastAsia" w:ascii="仿宋_GB2312" w:hAnsi="仿宋_GB2312" w:eastAsia="仿宋_GB2312"/>
          <w:sz w:val="32"/>
          <w:szCs w:val="32"/>
          <w:lang w:val="en-US" w:eastAsia="zh-CN"/>
        </w:rPr>
        <w:t>47</w:t>
      </w:r>
      <w:r>
        <w:rPr>
          <w:rFonts w:ascii="仿宋_GB2312" w:hAnsi="仿宋_GB2312" w:eastAsia="仿宋_GB2312"/>
          <w:sz w:val="32"/>
          <w:szCs w:val="32"/>
        </w:rPr>
        <w:t>%</w:t>
      </w:r>
      <w:r>
        <w:rPr>
          <w:rStyle w:val="9"/>
          <w:rFonts w:ascii="仿宋_GB2312" w:hAnsi="仿宋_GB2312" w:eastAsia="仿宋_GB2312"/>
          <w:sz w:val="32"/>
          <w:szCs w:val="32"/>
        </w:rPr>
        <w:footnoteReference w:id="0"/>
      </w:r>
      <w:r>
        <w:rPr>
          <w:rFonts w:ascii="仿宋_GB2312" w:hAnsi="仿宋_GB2312" w:eastAsia="仿宋_GB2312"/>
          <w:sz w:val="32"/>
          <w:szCs w:val="32"/>
        </w:rPr>
        <w:t>。</w:t>
      </w:r>
      <w:r>
        <w:rPr>
          <w:rFonts w:hint="eastAsia" w:ascii="仿宋_GB2312" w:hAnsi="仿宋_GB2312" w:eastAsia="仿宋_GB2312"/>
          <w:sz w:val="32"/>
          <w:szCs w:val="32"/>
        </w:rPr>
        <w:t>在审判流程中未结案件为1</w:t>
      </w:r>
      <w:r>
        <w:rPr>
          <w:rFonts w:hint="eastAsia" w:ascii="仿宋_GB2312" w:hAnsi="仿宋_GB2312" w:eastAsia="仿宋_GB2312"/>
          <w:sz w:val="32"/>
          <w:szCs w:val="32"/>
          <w:lang w:val="en-US" w:eastAsia="zh-CN"/>
        </w:rPr>
        <w:t>77</w:t>
      </w:r>
      <w:r>
        <w:rPr>
          <w:rFonts w:hint="eastAsia" w:ascii="仿宋_GB2312" w:hAnsi="仿宋_GB2312" w:eastAsia="仿宋_GB2312"/>
          <w:sz w:val="32"/>
          <w:szCs w:val="32"/>
        </w:rPr>
        <w:t>件。</w:t>
      </w:r>
    </w:p>
    <w:p>
      <w:pPr>
        <w:jc w:val="left"/>
        <w:rPr>
          <w:rFonts w:ascii="仿宋_GB2312" w:hAnsi="仿宋_GB2312" w:eastAsia="仿宋_GB2312"/>
          <w:sz w:val="32"/>
          <w:szCs w:val="32"/>
        </w:rPr>
      </w:pPr>
      <w:r>
        <w:rPr>
          <w:rFonts w:ascii="仿宋_GB2312" w:hAnsi="仿宋_GB2312" w:eastAsia="仿宋_GB2312"/>
          <w:sz w:val="32"/>
          <w:szCs w:val="32"/>
        </w:rPr>
        <w:object>
          <v:shape id="_x0000_i1025" o:spt="75" type="#_x0000_t75" style="height:261.5pt;width:407.5pt;" o:ole="t" filled="f" o:preferrelative="t" stroked="f" coordsize="21600,21600">
            <v:path/>
            <v:fill on="f" focussize="0,0"/>
            <v:stroke on="f"/>
            <v:imagedata r:id="rId7" o:title=""/>
            <o:lock v:ext="edit" aspectratio="t"/>
            <w10:wrap type="none"/>
            <w10:anchorlock/>
          </v:shape>
          <o:OLEObject Type="Embed" ProgID="Excel.Sheet.12" ShapeID="_x0000_i1025" DrawAspect="Content" ObjectID="_1468075725" r:id="rId6">
            <o:LockedField>false</o:LockedField>
          </o:OLEObject>
        </w:objec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各类诉讼案件</w:t>
      </w:r>
      <w:r>
        <w:rPr>
          <w:rFonts w:hint="eastAsia" w:ascii="仿宋_GB2312" w:hAnsi="仿宋_GB2312" w:eastAsia="仿宋_GB2312"/>
          <w:sz w:val="32"/>
          <w:szCs w:val="32"/>
          <w:lang w:val="en-US" w:eastAsia="zh-CN"/>
        </w:rPr>
        <w:t>中</w:t>
      </w:r>
      <w:r>
        <w:rPr>
          <w:rFonts w:hint="eastAsia" w:ascii="仿宋_GB2312" w:hAnsi="仿宋_GB2312" w:eastAsia="仿宋_GB2312"/>
          <w:sz w:val="32"/>
          <w:szCs w:val="32"/>
        </w:rPr>
        <w:t>，刑事一审案件</w:t>
      </w:r>
      <w:r>
        <w:rPr>
          <w:rFonts w:hint="eastAsia" w:ascii="仿宋_GB2312" w:hAnsi="仿宋_GB2312" w:eastAsia="仿宋_GB2312"/>
          <w:sz w:val="32"/>
          <w:szCs w:val="32"/>
          <w:lang w:val="en-US" w:eastAsia="zh-CN"/>
        </w:rPr>
        <w:t>88</w:t>
      </w:r>
      <w:r>
        <w:rPr>
          <w:rFonts w:hint="eastAsia" w:ascii="仿宋_GB2312" w:hAnsi="仿宋_GB2312" w:eastAsia="仿宋_GB2312"/>
          <w:sz w:val="32"/>
          <w:szCs w:val="32"/>
        </w:rPr>
        <w:t>件（旧存7件，新收</w:t>
      </w:r>
      <w:r>
        <w:rPr>
          <w:rFonts w:hint="eastAsia" w:ascii="仿宋_GB2312" w:hAnsi="仿宋_GB2312" w:eastAsia="仿宋_GB2312"/>
          <w:sz w:val="32"/>
          <w:szCs w:val="32"/>
          <w:lang w:val="en-US" w:eastAsia="zh-CN"/>
        </w:rPr>
        <w:t>81</w:t>
      </w:r>
      <w:r>
        <w:rPr>
          <w:rFonts w:hint="eastAsia" w:ascii="仿宋_GB2312" w:hAnsi="仿宋_GB2312" w:eastAsia="仿宋_GB2312"/>
          <w:sz w:val="32"/>
          <w:szCs w:val="32"/>
        </w:rPr>
        <w:t>件），再审收案3件（旧存2件，新收1件），刑罚变更1件；受理民事一审案件共</w:t>
      </w:r>
      <w:r>
        <w:rPr>
          <w:rFonts w:hint="eastAsia" w:ascii="仿宋_GB2312" w:hAnsi="仿宋_GB2312" w:eastAsia="仿宋_GB2312"/>
          <w:sz w:val="32"/>
          <w:szCs w:val="32"/>
          <w:lang w:val="en-US" w:eastAsia="zh-CN"/>
        </w:rPr>
        <w:t>1001</w:t>
      </w:r>
      <w:r>
        <w:rPr>
          <w:rFonts w:hint="eastAsia" w:ascii="仿宋_GB2312" w:hAnsi="仿宋_GB2312" w:eastAsia="仿宋_GB2312"/>
          <w:sz w:val="32"/>
          <w:szCs w:val="32"/>
        </w:rPr>
        <w:t>件（旧存178件，新收</w:t>
      </w:r>
      <w:r>
        <w:rPr>
          <w:rFonts w:hint="eastAsia" w:ascii="仿宋_GB2312" w:hAnsi="仿宋_GB2312" w:eastAsia="仿宋_GB2312"/>
          <w:sz w:val="32"/>
          <w:szCs w:val="32"/>
          <w:lang w:val="en-US" w:eastAsia="zh-CN"/>
        </w:rPr>
        <w:t>823</w:t>
      </w:r>
      <w:r>
        <w:rPr>
          <w:rFonts w:hint="eastAsia" w:ascii="仿宋_GB2312" w:hAnsi="仿宋_GB2312" w:eastAsia="仿宋_GB2312"/>
          <w:sz w:val="32"/>
          <w:szCs w:val="32"/>
        </w:rPr>
        <w:t>件），再审案件新收3件，特别程序案件10件（旧存6件，新收4件），破产案件2件;审查监督案件新收</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件，非诉保全案件新收6件,国家赔偿案件1件,行政案件2件。</w:t>
      </w:r>
    </w:p>
    <w:p>
      <w:pPr>
        <w:ind w:firstLine="480" w:firstLineChars="200"/>
        <w:jc w:val="center"/>
        <w:rPr>
          <w:rFonts w:ascii="微软雅黑" w:hAnsi="微软雅黑" w:eastAsia="微软雅黑"/>
          <w:sz w:val="24"/>
          <w:szCs w:val="24"/>
        </w:rPr>
      </w:pPr>
      <w:r>
        <w:rPr>
          <w:rFonts w:hint="eastAsia" w:ascii="微软雅黑" w:hAnsi="微软雅黑" w:eastAsia="微软雅黑"/>
          <w:sz w:val="24"/>
          <w:szCs w:val="24"/>
        </w:rPr>
        <w:t>审判业务部门案件分布图例</w:t>
      </w:r>
    </w:p>
    <w:p>
      <w:pPr>
        <w:ind w:leftChars="-67" w:hanging="140" w:hangingChars="44"/>
        <w:rPr>
          <w:rFonts w:ascii="微软雅黑" w:hAnsi="微软雅黑" w:eastAsia="微软雅黑"/>
          <w:sz w:val="24"/>
          <w:szCs w:val="24"/>
        </w:rPr>
      </w:pPr>
      <w:r>
        <w:rPr>
          <w:rFonts w:ascii="仿宋_GB2312" w:hAnsi="仿宋_GB2312" w:eastAsia="仿宋_GB2312"/>
          <w:sz w:val="32"/>
          <w:szCs w:val="32"/>
        </w:rPr>
        <w:object>
          <v:shape id="_x0000_i1026" o:spt="75" type="#_x0000_t75" style="height:104pt;width:418pt;" o:ole="t" filled="f" o:preferrelative="t" stroked="f" coordsize="21600,21600">
            <v:path/>
            <v:fill on="f" focussize="0,0"/>
            <v:stroke on="f"/>
            <v:imagedata r:id="rId9" o:title=""/>
            <o:lock v:ext="edit" aspectratio="t"/>
            <w10:wrap type="none"/>
            <w10:anchorlock/>
          </v:shape>
          <o:OLEObject Type="Embed" ProgID="Excel.Sheet.8" ShapeID="_x0000_i1026" DrawAspect="Content" ObjectID="_1468075726" r:id="rId8">
            <o:LockedField>false</o:LockedField>
          </o:OLEObject>
        </w:object>
      </w:r>
      <w:r>
        <w:rPr>
          <w:rFonts w:ascii="微软雅黑" w:hAnsi="微软雅黑" w:eastAsia="微软雅黑"/>
          <w:sz w:val="24"/>
          <w:szCs w:val="24"/>
        </w:rPr>
        <w:object>
          <v:shape id="_x0000_i1027" o:spt="75" type="#_x0000_t75" style="height:381.9pt;width:396pt;" o:ole="t" filled="f" o:preferrelative="t" stroked="f" coordsize="21600,21600">
            <v:path/>
            <v:fill on="f" focussize="0,0"/>
            <v:stroke on="f"/>
            <v:imagedata r:id="rId11" o:title=""/>
            <o:lock v:ext="edit" aspectratio="t"/>
            <w10:wrap type="none"/>
            <w10:anchorlock/>
          </v:shape>
          <o:OLEObject Type="Embed" ProgID="Excel.Sheet.12" ShapeID="_x0000_i1027" DrawAspect="Content" ObjectID="_1468075727" r:id="rId10">
            <o:LockedField>false</o:LockedField>
          </o:OLEObject>
        </w:object>
      </w:r>
    </w:p>
    <w:p>
      <w:pPr>
        <w:ind w:leftChars="-67" w:hanging="141" w:hangingChars="44"/>
        <w:rPr>
          <w:rFonts w:ascii="黑体" w:hAnsi="黑体" w:eastAsia="黑体"/>
          <w:b/>
          <w:sz w:val="32"/>
          <w:szCs w:val="32"/>
        </w:rPr>
      </w:pPr>
      <w:r>
        <w:rPr>
          <w:rFonts w:hint="eastAsia" w:ascii="黑体" w:hAnsi="黑体" w:eastAsia="黑体"/>
          <w:b/>
          <w:sz w:val="32"/>
          <w:szCs w:val="32"/>
        </w:rPr>
        <w:t>二、</w:t>
      </w:r>
      <w:r>
        <w:rPr>
          <w:rFonts w:hint="eastAsia" w:ascii="黑体" w:hAnsi="黑体" w:eastAsia="黑体"/>
          <w:b/>
          <w:sz w:val="32"/>
          <w:szCs w:val="32"/>
        </w:rPr>
        <w:tab/>
      </w:r>
      <w:r>
        <w:rPr>
          <w:rFonts w:hint="eastAsia" w:ascii="黑体" w:hAnsi="黑体" w:eastAsia="黑体"/>
          <w:b/>
          <w:sz w:val="32"/>
          <w:szCs w:val="32"/>
        </w:rPr>
        <w:t>2019年</w:t>
      </w:r>
      <w:r>
        <w:rPr>
          <w:rFonts w:hint="eastAsia" w:ascii="黑体" w:hAnsi="黑体" w:eastAsia="黑体"/>
          <w:b/>
          <w:sz w:val="32"/>
          <w:szCs w:val="32"/>
          <w:lang w:val="en-US" w:eastAsia="zh-CN"/>
        </w:rPr>
        <w:t>9</w:t>
      </w:r>
      <w:r>
        <w:rPr>
          <w:rFonts w:hint="eastAsia" w:ascii="黑体" w:hAnsi="黑体" w:eastAsia="黑体"/>
          <w:b/>
          <w:sz w:val="32"/>
          <w:szCs w:val="32"/>
        </w:rPr>
        <w:t>月我院审判绩效考核指标情况分析</w:t>
      </w:r>
    </w:p>
    <w:p>
      <w:pPr>
        <w:ind w:firstLine="643" w:firstLineChars="200"/>
        <w:rPr>
          <w:rFonts w:ascii="黑体" w:hAnsi="黑体" w:eastAsia="黑体"/>
          <w:b/>
          <w:sz w:val="32"/>
          <w:szCs w:val="32"/>
        </w:rPr>
      </w:pPr>
      <w:r>
        <w:rPr>
          <w:rFonts w:hint="eastAsia" w:ascii="黑体" w:hAnsi="黑体" w:eastAsia="黑体"/>
          <w:b/>
          <w:sz w:val="32"/>
          <w:szCs w:val="32"/>
        </w:rPr>
        <w:t>绩效考核</w:t>
      </w:r>
      <w:r>
        <w:rPr>
          <w:rFonts w:ascii="黑体" w:hAnsi="黑体" w:eastAsia="黑体"/>
          <w:b/>
          <w:sz w:val="32"/>
          <w:szCs w:val="32"/>
        </w:rPr>
        <w:t>指标共二十五项，其中</w:t>
      </w:r>
      <w:r>
        <w:rPr>
          <w:rFonts w:hint="eastAsia" w:ascii="黑体" w:hAnsi="黑体" w:eastAsia="黑体"/>
          <w:b/>
          <w:sz w:val="32"/>
          <w:szCs w:val="32"/>
        </w:rPr>
        <w:t>第</w:t>
      </w:r>
      <w:r>
        <w:rPr>
          <w:rFonts w:ascii="黑体" w:hAnsi="黑体" w:eastAsia="黑体"/>
          <w:b/>
          <w:sz w:val="32"/>
          <w:szCs w:val="32"/>
        </w:rPr>
        <w:t>一项至</w:t>
      </w:r>
      <w:r>
        <w:rPr>
          <w:rFonts w:hint="eastAsia" w:ascii="黑体" w:hAnsi="黑体" w:eastAsia="黑体"/>
          <w:b/>
          <w:sz w:val="32"/>
          <w:szCs w:val="32"/>
        </w:rPr>
        <w:t>第</w:t>
      </w:r>
      <w:r>
        <w:rPr>
          <w:rFonts w:ascii="黑体" w:hAnsi="黑体" w:eastAsia="黑体"/>
          <w:b/>
          <w:sz w:val="32"/>
          <w:szCs w:val="32"/>
        </w:rPr>
        <w:t>二十一</w:t>
      </w:r>
      <w:r>
        <w:rPr>
          <w:rFonts w:hint="eastAsia" w:ascii="黑体" w:hAnsi="黑体" w:eastAsia="黑体"/>
          <w:b/>
          <w:sz w:val="32"/>
          <w:szCs w:val="32"/>
        </w:rPr>
        <w:t>项</w:t>
      </w:r>
      <w:r>
        <w:rPr>
          <w:rFonts w:ascii="黑体" w:hAnsi="黑体" w:eastAsia="黑体"/>
          <w:b/>
          <w:sz w:val="32"/>
          <w:szCs w:val="32"/>
        </w:rPr>
        <w:t>为常规考核项</w:t>
      </w:r>
      <w:r>
        <w:rPr>
          <w:rFonts w:hint="eastAsia" w:ascii="黑体" w:hAnsi="黑体" w:eastAsia="黑体"/>
          <w:b/>
          <w:sz w:val="32"/>
          <w:szCs w:val="32"/>
        </w:rPr>
        <w:t>（</w:t>
      </w:r>
      <w:r>
        <w:rPr>
          <w:rFonts w:ascii="黑体" w:hAnsi="黑体" w:eastAsia="黑体"/>
          <w:b/>
          <w:sz w:val="32"/>
          <w:szCs w:val="32"/>
        </w:rPr>
        <w:t>共计</w:t>
      </w:r>
      <w:r>
        <w:rPr>
          <w:rFonts w:hint="eastAsia" w:ascii="黑体" w:hAnsi="黑体" w:eastAsia="黑体"/>
          <w:b/>
          <w:sz w:val="32"/>
          <w:szCs w:val="32"/>
        </w:rPr>
        <w:t>52分</w:t>
      </w:r>
      <w:r>
        <w:rPr>
          <w:rFonts w:ascii="黑体" w:hAnsi="黑体" w:eastAsia="黑体"/>
          <w:b/>
          <w:sz w:val="32"/>
          <w:szCs w:val="32"/>
        </w:rPr>
        <w:t>，</w:t>
      </w:r>
      <w:r>
        <w:rPr>
          <w:rFonts w:hint="eastAsia" w:ascii="黑体" w:hAnsi="黑体" w:eastAsia="黑体"/>
          <w:b/>
          <w:sz w:val="32"/>
          <w:szCs w:val="32"/>
        </w:rPr>
        <w:t>包括</w:t>
      </w:r>
      <w:r>
        <w:rPr>
          <w:rFonts w:ascii="黑体" w:hAnsi="黑体" w:eastAsia="黑体"/>
          <w:b/>
          <w:sz w:val="32"/>
          <w:szCs w:val="32"/>
        </w:rPr>
        <w:t>加分项</w:t>
      </w:r>
      <w:r>
        <w:rPr>
          <w:rFonts w:hint="eastAsia" w:ascii="黑体" w:hAnsi="黑体" w:eastAsia="黑体"/>
          <w:b/>
          <w:sz w:val="32"/>
          <w:szCs w:val="32"/>
        </w:rPr>
        <w:t>1分），第</w:t>
      </w:r>
      <w:r>
        <w:rPr>
          <w:rFonts w:ascii="黑体" w:hAnsi="黑体" w:eastAsia="黑体"/>
          <w:b/>
          <w:sz w:val="32"/>
          <w:szCs w:val="32"/>
        </w:rPr>
        <w:t>二十二项至</w:t>
      </w:r>
      <w:r>
        <w:rPr>
          <w:rFonts w:hint="eastAsia" w:ascii="黑体" w:hAnsi="黑体" w:eastAsia="黑体"/>
          <w:b/>
          <w:sz w:val="32"/>
          <w:szCs w:val="32"/>
        </w:rPr>
        <w:t>第</w:t>
      </w:r>
      <w:r>
        <w:rPr>
          <w:rFonts w:ascii="黑体" w:hAnsi="黑体" w:eastAsia="黑体"/>
          <w:b/>
          <w:sz w:val="32"/>
          <w:szCs w:val="32"/>
        </w:rPr>
        <w:t>二十五项为加分项（共计</w:t>
      </w:r>
      <w:r>
        <w:rPr>
          <w:rFonts w:hint="eastAsia" w:ascii="黑体" w:hAnsi="黑体" w:eastAsia="黑体"/>
          <w:b/>
          <w:sz w:val="32"/>
          <w:szCs w:val="32"/>
        </w:rPr>
        <w:t>3分</w:t>
      </w:r>
      <w:r>
        <w:rPr>
          <w:rFonts w:ascii="黑体" w:hAnsi="黑体" w:eastAsia="黑体"/>
          <w:b/>
          <w:sz w:val="32"/>
          <w:szCs w:val="32"/>
        </w:rPr>
        <w:t>）</w:t>
      </w:r>
      <w:r>
        <w:rPr>
          <w:rFonts w:hint="eastAsia" w:ascii="黑体" w:hAnsi="黑体" w:eastAsia="黑体"/>
          <w:b/>
          <w:sz w:val="32"/>
          <w:szCs w:val="32"/>
        </w:rPr>
        <w:t>，</w:t>
      </w:r>
      <w:r>
        <w:rPr>
          <w:rFonts w:ascii="黑体" w:hAnsi="黑体" w:eastAsia="黑体"/>
          <w:b/>
          <w:sz w:val="32"/>
          <w:szCs w:val="32"/>
        </w:rPr>
        <w:t>合计</w:t>
      </w:r>
      <w:r>
        <w:rPr>
          <w:rFonts w:hint="eastAsia" w:ascii="黑体" w:hAnsi="黑体" w:eastAsia="黑体"/>
          <w:b/>
          <w:sz w:val="32"/>
          <w:szCs w:val="32"/>
        </w:rPr>
        <w:t>55分</w:t>
      </w:r>
      <w:r>
        <w:rPr>
          <w:rFonts w:ascii="黑体" w:hAnsi="黑体" w:eastAsia="黑体"/>
          <w:b/>
          <w:sz w:val="32"/>
          <w:szCs w:val="32"/>
        </w:rPr>
        <w:t>。</w:t>
      </w:r>
    </w:p>
    <w:p>
      <w:pPr>
        <w:ind w:firstLine="482" w:firstLineChars="150"/>
        <w:outlineLvl w:val="1"/>
        <w:rPr>
          <w:rFonts w:ascii="黑体" w:hAnsi="黑体" w:eastAsia="黑体"/>
          <w:b/>
          <w:sz w:val="32"/>
          <w:szCs w:val="32"/>
        </w:rPr>
      </w:pPr>
      <w:r>
        <w:rPr>
          <w:rFonts w:hint="eastAsia" w:ascii="仿宋_GB2312" w:eastAsia="仿宋_GB2312"/>
          <w:b/>
          <w:sz w:val="32"/>
          <w:szCs w:val="32"/>
        </w:rPr>
        <w:t>（一）结收比指标（8分，</w:t>
      </w:r>
      <w:r>
        <w:rPr>
          <w:rFonts w:ascii="仿宋_GB2312" w:eastAsia="仿宋_GB2312"/>
          <w:b/>
          <w:sz w:val="32"/>
          <w:szCs w:val="32"/>
        </w:rPr>
        <w:t>加</w:t>
      </w:r>
      <w:r>
        <w:rPr>
          <w:rFonts w:hint="eastAsia" w:ascii="仿宋_GB2312" w:eastAsia="仿宋_GB2312"/>
          <w:b/>
          <w:sz w:val="32"/>
          <w:szCs w:val="32"/>
        </w:rPr>
        <w:t>1分）</w:t>
      </w:r>
    </w:p>
    <w:p>
      <w:pPr>
        <w:ind w:firstLine="640" w:firstLineChars="200"/>
        <w:rPr>
          <w:rFonts w:ascii="仿宋_GB2312" w:eastAsia="仿宋_GB2312"/>
          <w:sz w:val="32"/>
          <w:szCs w:val="32"/>
        </w:rPr>
      </w:pPr>
      <w:r>
        <w:rPr>
          <w:rFonts w:hint="eastAsia" w:ascii="仿宋_GB2312" w:eastAsia="仿宋_GB2312"/>
          <w:sz w:val="32"/>
          <w:szCs w:val="32"/>
        </w:rPr>
        <w:t>结收比=（诉讼+执行已结案件数）/（诉讼+执行新收案</w:t>
      </w:r>
    </w:p>
    <w:p>
      <w:pPr>
        <w:rPr>
          <w:rFonts w:ascii="仿宋_GB2312" w:eastAsia="仿宋_GB2312"/>
          <w:sz w:val="32"/>
          <w:szCs w:val="32"/>
        </w:rPr>
      </w:pPr>
      <w:r>
        <w:rPr>
          <w:rFonts w:hint="eastAsia" w:ascii="仿宋_GB2312" w:eastAsia="仿宋_GB2312"/>
          <w:sz w:val="32"/>
          <w:szCs w:val="32"/>
        </w:rPr>
        <w:t>件数），按季度进行考核。</w:t>
      </w:r>
    </w:p>
    <w:p>
      <w:pPr>
        <w:ind w:firstLine="640" w:firstLineChars="200"/>
        <w:rPr>
          <w:rFonts w:ascii="黑体" w:hAnsi="黑体" w:eastAsia="黑体"/>
          <w:sz w:val="32"/>
          <w:szCs w:val="32"/>
        </w:rPr>
      </w:pPr>
      <w:r>
        <w:rPr>
          <w:rFonts w:hint="eastAsia" w:ascii="仿宋_GB2312" w:eastAsia="仿宋_GB2312"/>
          <w:sz w:val="32"/>
          <w:szCs w:val="32"/>
        </w:rPr>
        <w:t>结收比按季度进行考核。2019年一季度结收比设定为7</w:t>
      </w:r>
      <w:r>
        <w:rPr>
          <w:rFonts w:ascii="仿宋_GB2312" w:eastAsia="仿宋_GB2312"/>
          <w:sz w:val="32"/>
          <w:szCs w:val="32"/>
        </w:rPr>
        <w:t>0%</w:t>
      </w:r>
      <w:r>
        <w:rPr>
          <w:rFonts w:hint="eastAsia" w:ascii="仿宋_GB2312" w:eastAsia="仿宋_GB2312"/>
          <w:sz w:val="32"/>
          <w:szCs w:val="32"/>
        </w:rPr>
        <w:t>，二季度结收比设定为8</w:t>
      </w:r>
      <w:r>
        <w:rPr>
          <w:rFonts w:ascii="仿宋_GB2312" w:eastAsia="仿宋_GB2312"/>
          <w:sz w:val="32"/>
          <w:szCs w:val="32"/>
        </w:rPr>
        <w:t>5%</w:t>
      </w:r>
      <w:r>
        <w:rPr>
          <w:rFonts w:hint="eastAsia" w:ascii="仿宋_GB2312" w:eastAsia="仿宋_GB2312"/>
          <w:sz w:val="32"/>
          <w:szCs w:val="32"/>
        </w:rPr>
        <w:t>，三季度结收比设定为9</w:t>
      </w:r>
      <w:r>
        <w:rPr>
          <w:rFonts w:ascii="仿宋_GB2312" w:eastAsia="仿宋_GB2312"/>
          <w:sz w:val="32"/>
          <w:szCs w:val="32"/>
        </w:rPr>
        <w:t>0%</w:t>
      </w:r>
      <w:r>
        <w:rPr>
          <w:rFonts w:hint="eastAsia" w:ascii="仿宋_GB2312" w:eastAsia="仿宋_GB2312"/>
          <w:sz w:val="32"/>
          <w:szCs w:val="32"/>
        </w:rPr>
        <w:t>，四季度结收比设定为1</w:t>
      </w:r>
      <w:r>
        <w:rPr>
          <w:rFonts w:ascii="仿宋_GB2312" w:eastAsia="仿宋_GB2312"/>
          <w:sz w:val="32"/>
          <w:szCs w:val="32"/>
        </w:rPr>
        <w:t>00%</w:t>
      </w:r>
      <w:r>
        <w:rPr>
          <w:rFonts w:hint="eastAsia" w:ascii="仿宋_GB2312" w:eastAsia="仿宋_GB2312"/>
          <w:sz w:val="32"/>
          <w:szCs w:val="32"/>
        </w:rPr>
        <w:t>。考核时达不到设定的结收比予以减分，每低于设定的结收比0.1个百分点减0.01分，月度减分以1分为限，全年减分以8分为限。2019年12月</w:t>
      </w:r>
      <w:r>
        <w:rPr>
          <w:rFonts w:ascii="仿宋_GB2312" w:eastAsia="仿宋_GB2312"/>
          <w:sz w:val="32"/>
          <w:szCs w:val="32"/>
        </w:rPr>
        <w:t>结收比高于</w:t>
      </w:r>
      <w:r>
        <w:rPr>
          <w:rFonts w:hint="eastAsia" w:ascii="仿宋_GB2312" w:eastAsia="仿宋_GB2312"/>
          <w:sz w:val="32"/>
          <w:szCs w:val="32"/>
        </w:rPr>
        <w:t>100</w:t>
      </w:r>
      <w:r>
        <w:rPr>
          <w:rFonts w:ascii="仿宋_GB2312" w:eastAsia="仿宋_GB2312"/>
          <w:sz w:val="32"/>
          <w:szCs w:val="32"/>
        </w:rPr>
        <w:t>%的予以加分，</w:t>
      </w:r>
      <w:r>
        <w:rPr>
          <w:rFonts w:hint="eastAsia" w:ascii="仿宋_GB2312" w:eastAsia="仿宋_GB2312"/>
          <w:sz w:val="32"/>
          <w:szCs w:val="32"/>
        </w:rPr>
        <w:t>每</w:t>
      </w:r>
      <w:r>
        <w:rPr>
          <w:rFonts w:ascii="仿宋_GB2312" w:eastAsia="仿宋_GB2312"/>
          <w:sz w:val="32"/>
          <w:szCs w:val="32"/>
        </w:rPr>
        <w:t>高出</w:t>
      </w:r>
      <w:r>
        <w:rPr>
          <w:rFonts w:hint="eastAsia" w:ascii="仿宋_GB2312" w:eastAsia="仿宋_GB2312"/>
          <w:sz w:val="32"/>
          <w:szCs w:val="32"/>
        </w:rPr>
        <w:t>0.1个</w:t>
      </w:r>
      <w:r>
        <w:rPr>
          <w:rFonts w:ascii="仿宋_GB2312" w:eastAsia="仿宋_GB2312"/>
          <w:sz w:val="32"/>
          <w:szCs w:val="32"/>
        </w:rPr>
        <w:t>百分点加</w:t>
      </w:r>
      <w:r>
        <w:rPr>
          <w:rFonts w:hint="eastAsia" w:ascii="仿宋_GB2312" w:eastAsia="仿宋_GB2312"/>
          <w:sz w:val="32"/>
          <w:szCs w:val="32"/>
        </w:rPr>
        <w:t>0.01分</w:t>
      </w:r>
      <w:r>
        <w:rPr>
          <w:rFonts w:ascii="仿宋_GB2312" w:eastAsia="仿宋_GB2312"/>
          <w:sz w:val="32"/>
          <w:szCs w:val="32"/>
        </w:rPr>
        <w:t>，加分以</w:t>
      </w:r>
      <w:r>
        <w:rPr>
          <w:rFonts w:hint="eastAsia" w:ascii="仿宋_GB2312" w:eastAsia="仿宋_GB2312"/>
          <w:sz w:val="32"/>
          <w:szCs w:val="32"/>
        </w:rPr>
        <w:t>1分</w:t>
      </w:r>
      <w:r>
        <w:rPr>
          <w:rFonts w:ascii="仿宋_GB2312" w:eastAsia="仿宋_GB2312"/>
          <w:sz w:val="32"/>
          <w:szCs w:val="32"/>
        </w:rPr>
        <w:t>为限，</w:t>
      </w:r>
      <w:r>
        <w:rPr>
          <w:rFonts w:hint="eastAsia" w:ascii="仿宋_GB2312" w:eastAsia="仿宋_GB2312"/>
          <w:sz w:val="32"/>
          <w:szCs w:val="32"/>
        </w:rPr>
        <w:t>2019年12月</w:t>
      </w:r>
      <w:r>
        <w:rPr>
          <w:rFonts w:ascii="仿宋_GB2312" w:eastAsia="仿宋_GB2312"/>
          <w:sz w:val="32"/>
          <w:szCs w:val="32"/>
        </w:rPr>
        <w:t>新收</w:t>
      </w:r>
      <w:r>
        <w:rPr>
          <w:rFonts w:hint="eastAsia" w:ascii="仿宋_GB2312" w:eastAsia="仿宋_GB2312"/>
          <w:sz w:val="32"/>
          <w:szCs w:val="32"/>
        </w:rPr>
        <w:t>案件数</w:t>
      </w:r>
      <w:r>
        <w:rPr>
          <w:rFonts w:ascii="仿宋_GB2312" w:eastAsia="仿宋_GB2312"/>
          <w:sz w:val="32"/>
          <w:szCs w:val="32"/>
        </w:rPr>
        <w:t>启</w:t>
      </w:r>
      <w:r>
        <w:rPr>
          <w:rFonts w:hint="eastAsia" w:ascii="仿宋_GB2312" w:eastAsia="仿宋_GB2312"/>
          <w:sz w:val="32"/>
          <w:szCs w:val="32"/>
        </w:rPr>
        <w:t>畸低</w:t>
      </w:r>
      <w:r>
        <w:rPr>
          <w:rFonts w:ascii="仿宋_GB2312" w:eastAsia="仿宋_GB2312"/>
          <w:sz w:val="32"/>
          <w:szCs w:val="32"/>
        </w:rPr>
        <w:t>的不加分。</w:t>
      </w: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w:t>
      </w:r>
      <w:r>
        <w:rPr>
          <w:rFonts w:ascii="黑体" w:hAnsi="黑体" w:eastAsia="黑体"/>
          <w:sz w:val="32"/>
          <w:szCs w:val="32"/>
        </w:rPr>
        <w:t>，我院</w:t>
      </w:r>
      <w:r>
        <w:rPr>
          <w:rFonts w:hint="eastAsia" w:ascii="黑体" w:hAnsi="黑体" w:eastAsia="黑体"/>
          <w:sz w:val="32"/>
          <w:szCs w:val="32"/>
        </w:rPr>
        <w:t>结收比为</w:t>
      </w:r>
      <w:r>
        <w:rPr>
          <w:rFonts w:hint="eastAsia" w:ascii="黑体" w:hAnsi="黑体" w:eastAsia="黑体"/>
          <w:sz w:val="32"/>
          <w:szCs w:val="32"/>
          <w:lang w:val="en-US" w:eastAsia="zh-CN"/>
        </w:rPr>
        <w:t>105.21</w:t>
      </w:r>
      <w:r>
        <w:rPr>
          <w:rFonts w:ascii="黑体" w:hAnsi="黑体" w:eastAsia="黑体"/>
          <w:sz w:val="32"/>
          <w:szCs w:val="32"/>
        </w:rPr>
        <w:t>%</w:t>
      </w:r>
      <w:r>
        <w:rPr>
          <w:rFonts w:hint="eastAsia" w:ascii="黑体" w:hAnsi="黑体" w:eastAsia="黑体"/>
          <w:sz w:val="32"/>
          <w:szCs w:val="32"/>
        </w:rPr>
        <w:t>，</w:t>
      </w:r>
      <w:r>
        <w:rPr>
          <w:rFonts w:ascii="黑体" w:hAnsi="黑体" w:eastAsia="黑体"/>
          <w:sz w:val="32"/>
          <w:szCs w:val="32"/>
        </w:rPr>
        <w:t>超过省院</w:t>
      </w:r>
      <w:r>
        <w:rPr>
          <w:rFonts w:hint="eastAsia" w:ascii="黑体" w:hAnsi="黑体" w:eastAsia="黑体"/>
          <w:sz w:val="32"/>
          <w:szCs w:val="32"/>
        </w:rPr>
        <w:t>要求</w:t>
      </w:r>
      <w:r>
        <w:rPr>
          <w:rFonts w:hint="eastAsia" w:ascii="黑体" w:hAnsi="黑体" w:eastAsia="黑体"/>
          <w:sz w:val="32"/>
          <w:szCs w:val="32"/>
          <w:lang w:val="en-US" w:eastAsia="zh-CN"/>
        </w:rPr>
        <w:t>9</w:t>
      </w:r>
      <w:r>
        <w:rPr>
          <w:rFonts w:hint="eastAsia" w:ascii="黑体" w:hAnsi="黑体" w:eastAsia="黑体"/>
          <w:sz w:val="32"/>
          <w:szCs w:val="32"/>
        </w:rPr>
        <w:t>月份</w:t>
      </w:r>
      <w:r>
        <w:rPr>
          <w:rFonts w:ascii="黑体" w:hAnsi="黑体" w:eastAsia="黑体"/>
          <w:sz w:val="32"/>
          <w:szCs w:val="32"/>
        </w:rPr>
        <w:t>结收比</w:t>
      </w:r>
      <w:r>
        <w:rPr>
          <w:rFonts w:hint="eastAsia" w:ascii="黑体" w:hAnsi="黑体" w:eastAsia="黑体"/>
          <w:sz w:val="32"/>
          <w:szCs w:val="32"/>
        </w:rPr>
        <w:t>达到</w:t>
      </w:r>
      <w:r>
        <w:rPr>
          <w:rFonts w:ascii="黑体" w:hAnsi="黑体" w:eastAsia="黑体"/>
          <w:sz w:val="32"/>
          <w:szCs w:val="32"/>
        </w:rPr>
        <w:t>90%的规定</w:t>
      </w:r>
      <w:r>
        <w:rPr>
          <w:rFonts w:hint="eastAsia" w:ascii="黑体" w:hAnsi="黑体" w:eastAsia="黑体"/>
          <w:sz w:val="32"/>
          <w:szCs w:val="32"/>
        </w:rPr>
        <w:t>，应当继续保持。其中</w:t>
      </w:r>
      <w:r>
        <w:rPr>
          <w:rFonts w:ascii="黑体" w:hAnsi="黑体" w:eastAsia="黑体"/>
          <w:sz w:val="32"/>
          <w:szCs w:val="32"/>
        </w:rPr>
        <w:t>，</w:t>
      </w:r>
      <w:r>
        <w:rPr>
          <w:rFonts w:hint="eastAsia" w:ascii="黑体" w:hAnsi="黑体" w:eastAsia="黑体"/>
          <w:sz w:val="32"/>
          <w:szCs w:val="32"/>
        </w:rPr>
        <w:t>新收</w:t>
      </w:r>
      <w:r>
        <w:rPr>
          <w:rFonts w:ascii="黑体" w:hAnsi="黑体" w:eastAsia="黑体"/>
          <w:sz w:val="32"/>
          <w:szCs w:val="32"/>
        </w:rPr>
        <w:t>诉讼案件</w:t>
      </w:r>
      <w:r>
        <w:rPr>
          <w:rFonts w:hint="eastAsia" w:ascii="黑体" w:hAnsi="黑体" w:eastAsia="黑体"/>
          <w:sz w:val="32"/>
          <w:szCs w:val="32"/>
          <w:lang w:val="en-US" w:eastAsia="zh-CN"/>
        </w:rPr>
        <w:t>932</w:t>
      </w:r>
      <w:r>
        <w:rPr>
          <w:rFonts w:hint="eastAsia" w:ascii="黑体" w:hAnsi="黑体" w:eastAsia="黑体"/>
          <w:sz w:val="32"/>
          <w:szCs w:val="32"/>
        </w:rPr>
        <w:t>件，</w:t>
      </w:r>
      <w:r>
        <w:rPr>
          <w:rFonts w:ascii="黑体" w:hAnsi="黑体" w:eastAsia="黑体"/>
          <w:sz w:val="32"/>
          <w:szCs w:val="32"/>
        </w:rPr>
        <w:t>结案</w:t>
      </w:r>
      <w:r>
        <w:rPr>
          <w:rFonts w:hint="eastAsia" w:ascii="黑体" w:hAnsi="黑体" w:eastAsia="黑体"/>
          <w:sz w:val="32"/>
          <w:szCs w:val="32"/>
          <w:lang w:val="en-US" w:eastAsia="zh-CN"/>
        </w:rPr>
        <w:t>949</w:t>
      </w:r>
      <w:r>
        <w:rPr>
          <w:rFonts w:hint="eastAsia" w:ascii="黑体" w:hAnsi="黑体" w:eastAsia="黑体"/>
          <w:sz w:val="32"/>
          <w:szCs w:val="32"/>
        </w:rPr>
        <w:t>件，</w:t>
      </w:r>
      <w:r>
        <w:rPr>
          <w:rFonts w:ascii="黑体" w:hAnsi="黑体" w:eastAsia="黑体"/>
          <w:sz w:val="32"/>
          <w:szCs w:val="32"/>
        </w:rPr>
        <w:t>结收比为</w:t>
      </w:r>
      <w:r>
        <w:rPr>
          <w:rFonts w:hint="eastAsia" w:ascii="黑体" w:hAnsi="黑体" w:eastAsia="黑体"/>
          <w:sz w:val="32"/>
          <w:szCs w:val="32"/>
          <w:lang w:val="en-US" w:eastAsia="zh-CN"/>
        </w:rPr>
        <w:t>101.82</w:t>
      </w:r>
      <w:r>
        <w:rPr>
          <w:rFonts w:ascii="黑体" w:hAnsi="黑体" w:eastAsia="黑体"/>
          <w:sz w:val="32"/>
          <w:szCs w:val="32"/>
        </w:rPr>
        <w:t>%；新收执行案件</w:t>
      </w:r>
      <w:r>
        <w:rPr>
          <w:rFonts w:hint="eastAsia" w:ascii="黑体" w:hAnsi="黑体" w:eastAsia="黑体"/>
          <w:sz w:val="32"/>
          <w:szCs w:val="32"/>
          <w:lang w:val="en-US" w:eastAsia="zh-CN"/>
        </w:rPr>
        <w:t>545</w:t>
      </w:r>
      <w:r>
        <w:rPr>
          <w:rFonts w:hint="eastAsia" w:ascii="黑体" w:hAnsi="黑体" w:eastAsia="黑体"/>
          <w:sz w:val="32"/>
          <w:szCs w:val="32"/>
        </w:rPr>
        <w:t>件</w:t>
      </w:r>
      <w:r>
        <w:rPr>
          <w:rFonts w:ascii="黑体" w:hAnsi="黑体" w:eastAsia="黑体"/>
          <w:sz w:val="32"/>
          <w:szCs w:val="32"/>
        </w:rPr>
        <w:t>，结案</w:t>
      </w:r>
      <w:r>
        <w:rPr>
          <w:rFonts w:hint="eastAsia" w:ascii="黑体" w:hAnsi="黑体" w:eastAsia="黑体"/>
          <w:sz w:val="32"/>
          <w:szCs w:val="32"/>
          <w:lang w:val="en-US" w:eastAsia="zh-CN"/>
        </w:rPr>
        <w:t>605</w:t>
      </w:r>
      <w:r>
        <w:rPr>
          <w:rFonts w:hint="eastAsia" w:ascii="黑体" w:hAnsi="黑体" w:eastAsia="黑体"/>
          <w:sz w:val="32"/>
          <w:szCs w:val="32"/>
        </w:rPr>
        <w:t>件</w:t>
      </w:r>
      <w:r>
        <w:rPr>
          <w:rFonts w:ascii="黑体" w:hAnsi="黑体" w:eastAsia="黑体"/>
          <w:sz w:val="32"/>
          <w:szCs w:val="32"/>
        </w:rPr>
        <w:t>，</w:t>
      </w:r>
      <w:r>
        <w:rPr>
          <w:rFonts w:hint="eastAsia" w:ascii="黑体" w:hAnsi="黑体" w:eastAsia="黑体"/>
          <w:sz w:val="32"/>
          <w:szCs w:val="32"/>
        </w:rPr>
        <w:t>结收比</w:t>
      </w:r>
      <w:r>
        <w:rPr>
          <w:rFonts w:ascii="黑体" w:hAnsi="黑体" w:eastAsia="黑体"/>
          <w:sz w:val="32"/>
          <w:szCs w:val="32"/>
        </w:rPr>
        <w:t>为</w:t>
      </w:r>
      <w:r>
        <w:rPr>
          <w:rFonts w:hint="eastAsia" w:ascii="黑体" w:hAnsi="黑体" w:eastAsia="黑体"/>
          <w:sz w:val="32"/>
          <w:szCs w:val="32"/>
        </w:rPr>
        <w:t>1</w:t>
      </w:r>
      <w:r>
        <w:rPr>
          <w:rFonts w:hint="eastAsia" w:ascii="黑体" w:hAnsi="黑体" w:eastAsia="黑体"/>
          <w:sz w:val="32"/>
          <w:szCs w:val="32"/>
          <w:lang w:val="en-US" w:eastAsia="zh-CN"/>
        </w:rPr>
        <w:t>11.01</w:t>
      </w:r>
      <w:r>
        <w:rPr>
          <w:rFonts w:ascii="黑体" w:hAnsi="黑体" w:eastAsia="黑体"/>
          <w:sz w:val="32"/>
          <w:szCs w:val="32"/>
        </w:rPr>
        <w:t>%</w:t>
      </w:r>
      <w:r>
        <w:rPr>
          <w:rFonts w:hint="eastAsia" w:ascii="黑体" w:hAnsi="黑体" w:eastAsia="黑体"/>
          <w:sz w:val="32"/>
          <w:szCs w:val="32"/>
        </w:rPr>
        <w:t>。</w:t>
      </w:r>
    </w:p>
    <w:p>
      <w:pPr>
        <w:jc w:val="left"/>
        <w:rPr>
          <w:rFonts w:ascii="仿宋_GB2312" w:eastAsia="仿宋_GB2312"/>
          <w:sz w:val="32"/>
          <w:szCs w:val="32"/>
        </w:rPr>
      </w:pPr>
      <w:r>
        <w:rPr>
          <w:rFonts w:hint="eastAsia" w:ascii="仿宋_GB2312" w:hAnsi="仿宋_GB2312" w:eastAsia="仿宋_GB2312"/>
          <w:sz w:val="32"/>
          <w:szCs w:val="32"/>
        </w:rPr>
        <w:drawing>
          <wp:inline distT="0" distB="0" distL="114300" distR="114300">
            <wp:extent cx="5253990" cy="1828165"/>
            <wp:effectExtent l="4445" t="4445" r="14605"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482" w:firstLineChars="150"/>
        <w:outlineLvl w:val="1"/>
        <w:rPr>
          <w:rFonts w:ascii="仿宋_GB2312" w:eastAsia="仿宋_GB2312"/>
          <w:b/>
          <w:sz w:val="32"/>
          <w:szCs w:val="32"/>
        </w:rPr>
      </w:pPr>
      <w:r>
        <w:rPr>
          <w:rFonts w:hint="eastAsia" w:ascii="仿宋_GB2312" w:eastAsia="仿宋_GB2312"/>
          <w:b/>
          <w:sz w:val="32"/>
          <w:szCs w:val="32"/>
        </w:rPr>
        <w:t>（二）诉讼案件法定（正常）审限内结案率指标（2分）</w:t>
      </w:r>
    </w:p>
    <w:p>
      <w:pPr>
        <w:ind w:firstLine="640" w:firstLineChars="200"/>
        <w:rPr>
          <w:rFonts w:ascii="仿宋_GB2312" w:eastAsia="仿宋_GB2312"/>
          <w:sz w:val="32"/>
          <w:szCs w:val="32"/>
        </w:rPr>
      </w:pPr>
      <w:r>
        <w:rPr>
          <w:rFonts w:hint="eastAsia" w:ascii="仿宋_GB2312" w:eastAsia="仿宋_GB2312"/>
          <w:sz w:val="32"/>
          <w:szCs w:val="32"/>
        </w:rPr>
        <w:t>法定（正常）审限内结案率=1-（延长审限内结案数+超审限结案数）/结案数。用于考核正常审限内结案情况，按年度进行考核）。</w:t>
      </w:r>
    </w:p>
    <w:p>
      <w:pPr>
        <w:ind w:firstLine="640" w:firstLineChars="200"/>
        <w:rPr>
          <w:rFonts w:ascii="仿宋_GB2312" w:eastAsia="仿宋_GB2312"/>
          <w:sz w:val="32"/>
          <w:szCs w:val="32"/>
        </w:rPr>
      </w:pPr>
      <w:r>
        <w:rPr>
          <w:rFonts w:hint="eastAsia" w:ascii="仿宋_GB2312" w:eastAsia="仿宋_GB2312"/>
          <w:sz w:val="32"/>
          <w:szCs w:val="32"/>
        </w:rPr>
        <w:t>年度诉讼案件法定（正常）审限内结案率考核基础分值各设定为2分，基础法定（正常）审限内结案率设定为98%，考核时达到基础法定（正常）审限内结案率的得2分，达不到的予以减分，每低于基础法定（正常）审限内结案率0.1个百分点减0.05分，减分以2分为限。</w:t>
      </w:r>
    </w:p>
    <w:p>
      <w:pPr>
        <w:ind w:firstLine="640" w:firstLineChars="200"/>
        <w:rPr>
          <w:rFonts w:ascii="黑体" w:hAnsi="黑体" w:eastAsia="黑体"/>
          <w:sz w:val="32"/>
          <w:szCs w:val="32"/>
        </w:rPr>
      </w:pP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日，我院诉讼案件审限内结案率为</w:t>
      </w:r>
      <w:r>
        <w:rPr>
          <w:rFonts w:ascii="黑体" w:hAnsi="黑体" w:eastAsia="黑体"/>
          <w:sz w:val="32"/>
          <w:szCs w:val="32"/>
        </w:rPr>
        <w:t>99.</w:t>
      </w:r>
      <w:r>
        <w:rPr>
          <w:rFonts w:hint="eastAsia" w:ascii="黑体" w:hAnsi="黑体" w:eastAsia="黑体"/>
          <w:sz w:val="32"/>
          <w:szCs w:val="32"/>
          <w:lang w:val="en-US" w:eastAsia="zh-CN"/>
        </w:rPr>
        <w:t>47</w:t>
      </w:r>
      <w:r>
        <w:rPr>
          <w:rFonts w:hint="eastAsia" w:ascii="黑体" w:hAnsi="黑体" w:eastAsia="黑体"/>
          <w:sz w:val="32"/>
          <w:szCs w:val="32"/>
        </w:rPr>
        <w:t>%，超过省院规定的全年基础结案率达到98%的要求，应当继续保持。</w:t>
      </w:r>
    </w:p>
    <w:p>
      <w:pPr>
        <w:rPr>
          <w:rFonts w:ascii="黑体" w:hAnsi="黑体" w:eastAsia="黑体"/>
          <w:sz w:val="32"/>
          <w:szCs w:val="32"/>
        </w:rPr>
      </w:pPr>
      <w:r>
        <w:rPr>
          <w:rFonts w:hint="eastAsia" w:ascii="黑体" w:hAnsi="黑体" w:eastAsia="黑体"/>
          <w:sz w:val="32"/>
          <w:szCs w:val="32"/>
        </w:rPr>
        <w:drawing>
          <wp:inline distT="0" distB="0" distL="0" distR="0">
            <wp:extent cx="5274310" cy="1975485"/>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482" w:firstLineChars="150"/>
        <w:outlineLvl w:val="1"/>
        <w:rPr>
          <w:rFonts w:ascii="仿宋_GB2312" w:eastAsia="仿宋_GB2312"/>
          <w:b/>
          <w:sz w:val="32"/>
          <w:szCs w:val="32"/>
        </w:rPr>
      </w:pPr>
      <w:r>
        <w:rPr>
          <w:rFonts w:hint="eastAsia" w:ascii="仿宋_GB2312" w:eastAsia="仿宋_GB2312"/>
          <w:b/>
          <w:sz w:val="32"/>
          <w:szCs w:val="32"/>
        </w:rPr>
        <w:t>（三）结案率指标（2分）</w:t>
      </w:r>
    </w:p>
    <w:p>
      <w:pPr>
        <w:ind w:firstLine="640" w:firstLineChars="200"/>
        <w:rPr>
          <w:rFonts w:ascii="黑体" w:hAnsi="黑体" w:eastAsia="黑体"/>
          <w:sz w:val="32"/>
          <w:szCs w:val="32"/>
        </w:rPr>
      </w:pPr>
      <w:r>
        <w:rPr>
          <w:rFonts w:hint="eastAsia" w:ascii="仿宋_GB2312" w:eastAsia="仿宋_GB2312"/>
          <w:sz w:val="32"/>
          <w:szCs w:val="32"/>
        </w:rPr>
        <w:t>结案率</w:t>
      </w:r>
      <w:r>
        <w:rPr>
          <w:rFonts w:ascii="仿宋_GB2312" w:eastAsia="仿宋_GB2312"/>
          <w:sz w:val="32"/>
          <w:szCs w:val="32"/>
        </w:rPr>
        <w:t>=</w:t>
      </w:r>
      <w:r>
        <w:rPr>
          <w:rFonts w:hint="eastAsia" w:ascii="仿宋_GB2312" w:eastAsia="仿宋_GB2312"/>
          <w:sz w:val="32"/>
          <w:szCs w:val="32"/>
        </w:rPr>
        <w:t>（诉讼+执行已结案件数）/（诉讼+执行受理案件数</w:t>
      </w:r>
      <w:r>
        <w:rPr>
          <w:rFonts w:ascii="仿宋_GB2312" w:eastAsia="仿宋_GB2312"/>
          <w:sz w:val="32"/>
          <w:szCs w:val="32"/>
        </w:rPr>
        <w:t>）。</w:t>
      </w:r>
      <w:r>
        <w:rPr>
          <w:rFonts w:hint="eastAsia" w:ascii="仿宋_GB2312" w:eastAsia="仿宋_GB2312"/>
          <w:sz w:val="32"/>
          <w:szCs w:val="32"/>
        </w:rPr>
        <w:t>按</w:t>
      </w:r>
      <w:r>
        <w:rPr>
          <w:rFonts w:ascii="仿宋_GB2312" w:eastAsia="仿宋_GB2312"/>
          <w:sz w:val="32"/>
          <w:szCs w:val="32"/>
        </w:rPr>
        <w:t>年度进行考核。</w:t>
      </w:r>
      <w:r>
        <w:rPr>
          <w:rFonts w:hint="eastAsia" w:ascii="仿宋_GB2312" w:eastAsia="仿宋_GB2312"/>
          <w:sz w:val="32"/>
          <w:szCs w:val="32"/>
        </w:rPr>
        <w:t>年度诉讼案件</w:t>
      </w:r>
      <w:r>
        <w:rPr>
          <w:rFonts w:ascii="仿宋_GB2312" w:eastAsia="仿宋_GB2312"/>
          <w:sz w:val="32"/>
          <w:szCs w:val="32"/>
        </w:rPr>
        <w:t>结案率基础分值设定为</w:t>
      </w:r>
      <w:r>
        <w:rPr>
          <w:rFonts w:hint="eastAsia" w:ascii="仿宋_GB2312" w:eastAsia="仿宋_GB2312"/>
          <w:sz w:val="32"/>
          <w:szCs w:val="32"/>
        </w:rPr>
        <w:t>2分</w:t>
      </w:r>
      <w:r>
        <w:rPr>
          <w:rFonts w:ascii="仿宋_GB2312" w:eastAsia="仿宋_GB2312"/>
          <w:sz w:val="32"/>
          <w:szCs w:val="32"/>
        </w:rPr>
        <w:t>，基础结案率设定为90%</w:t>
      </w:r>
      <w:r>
        <w:rPr>
          <w:rFonts w:hint="eastAsia" w:ascii="仿宋_GB2312" w:eastAsia="仿宋_GB2312"/>
          <w:sz w:val="32"/>
          <w:szCs w:val="32"/>
        </w:rPr>
        <w:t>（</w:t>
      </w:r>
      <w:r>
        <w:rPr>
          <w:rFonts w:ascii="仿宋_GB2312" w:eastAsia="仿宋_GB2312"/>
          <w:sz w:val="32"/>
          <w:szCs w:val="32"/>
        </w:rPr>
        <w:t>州法院</w:t>
      </w:r>
      <w:r>
        <w:rPr>
          <w:rFonts w:hint="eastAsia" w:ascii="仿宋_GB2312" w:eastAsia="仿宋_GB2312"/>
          <w:sz w:val="32"/>
          <w:szCs w:val="32"/>
        </w:rPr>
        <w:t>92</w:t>
      </w:r>
      <w:r>
        <w:rPr>
          <w:rFonts w:ascii="仿宋_GB2312" w:eastAsia="仿宋_GB2312"/>
          <w:sz w:val="32"/>
          <w:szCs w:val="32"/>
        </w:rPr>
        <w:t>%），考核时达到基础结案率的得</w:t>
      </w:r>
      <w:r>
        <w:rPr>
          <w:rFonts w:hint="eastAsia" w:ascii="仿宋_GB2312" w:eastAsia="仿宋_GB2312"/>
          <w:sz w:val="32"/>
          <w:szCs w:val="32"/>
        </w:rPr>
        <w:t>2分，</w:t>
      </w:r>
      <w:r>
        <w:rPr>
          <w:rFonts w:ascii="仿宋_GB2312" w:eastAsia="仿宋_GB2312"/>
          <w:sz w:val="32"/>
          <w:szCs w:val="32"/>
        </w:rPr>
        <w:t>达不到基础结案率的予以减分，每低于基础结案率</w:t>
      </w:r>
      <w:r>
        <w:rPr>
          <w:rFonts w:hint="eastAsia" w:ascii="仿宋_GB2312" w:eastAsia="仿宋_GB2312"/>
          <w:sz w:val="32"/>
          <w:szCs w:val="32"/>
        </w:rPr>
        <w:t>0.1个</w:t>
      </w:r>
      <w:r>
        <w:rPr>
          <w:rFonts w:ascii="仿宋_GB2312" w:eastAsia="仿宋_GB2312"/>
          <w:sz w:val="32"/>
          <w:szCs w:val="32"/>
        </w:rPr>
        <w:t>百分点减</w:t>
      </w:r>
      <w:r>
        <w:rPr>
          <w:rFonts w:hint="eastAsia" w:ascii="仿宋_GB2312" w:eastAsia="仿宋_GB2312"/>
          <w:sz w:val="32"/>
          <w:szCs w:val="32"/>
        </w:rPr>
        <w:t>0.02分</w:t>
      </w:r>
      <w:r>
        <w:rPr>
          <w:rFonts w:ascii="仿宋_GB2312" w:eastAsia="仿宋_GB2312"/>
          <w:sz w:val="32"/>
          <w:szCs w:val="32"/>
        </w:rPr>
        <w:t>，减分以</w:t>
      </w:r>
      <w:r>
        <w:rPr>
          <w:rFonts w:hint="eastAsia" w:ascii="仿宋_GB2312" w:eastAsia="仿宋_GB2312"/>
          <w:sz w:val="32"/>
          <w:szCs w:val="32"/>
        </w:rPr>
        <w:t>2分</w:t>
      </w:r>
      <w:r>
        <w:rPr>
          <w:rFonts w:ascii="仿宋_GB2312" w:eastAsia="仿宋_GB2312"/>
          <w:sz w:val="32"/>
          <w:szCs w:val="32"/>
        </w:rPr>
        <w:t>为限。</w:t>
      </w: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日，我院</w:t>
      </w:r>
      <w:r>
        <w:rPr>
          <w:rFonts w:ascii="黑体" w:hAnsi="黑体" w:eastAsia="黑体"/>
          <w:sz w:val="32"/>
          <w:szCs w:val="32"/>
        </w:rPr>
        <w:t>结案率为</w:t>
      </w:r>
      <w:r>
        <w:rPr>
          <w:rFonts w:hint="eastAsia" w:ascii="黑体" w:hAnsi="黑体" w:eastAsia="黑体"/>
          <w:sz w:val="32"/>
          <w:szCs w:val="32"/>
          <w:lang w:val="en-US" w:eastAsia="zh-CN"/>
        </w:rPr>
        <w:t>83.73</w:t>
      </w:r>
      <w:r>
        <w:rPr>
          <w:rFonts w:ascii="黑体" w:hAnsi="黑体" w:eastAsia="黑体"/>
          <w:sz w:val="32"/>
          <w:szCs w:val="32"/>
        </w:rPr>
        <w:t>%</w:t>
      </w:r>
      <w:r>
        <w:rPr>
          <w:rFonts w:hint="eastAsia" w:ascii="黑体" w:hAnsi="黑体" w:eastAsia="黑体"/>
          <w:sz w:val="32"/>
          <w:szCs w:val="32"/>
        </w:rPr>
        <w:t>。其中，受理各类诉讼案件共1</w:t>
      </w:r>
      <w:r>
        <w:rPr>
          <w:rFonts w:hint="eastAsia" w:ascii="黑体" w:hAnsi="黑体" w:eastAsia="黑体"/>
          <w:sz w:val="32"/>
          <w:szCs w:val="32"/>
          <w:lang w:val="en-US" w:eastAsia="zh-CN"/>
        </w:rPr>
        <w:t>126</w:t>
      </w:r>
      <w:r>
        <w:rPr>
          <w:rFonts w:hint="eastAsia" w:ascii="黑体" w:hAnsi="黑体" w:eastAsia="黑体"/>
          <w:sz w:val="32"/>
          <w:szCs w:val="32"/>
        </w:rPr>
        <w:t>件（</w:t>
      </w:r>
      <w:r>
        <w:rPr>
          <w:rFonts w:ascii="黑体" w:hAnsi="黑体" w:eastAsia="黑体"/>
          <w:sz w:val="32"/>
          <w:szCs w:val="32"/>
        </w:rPr>
        <w:t>含旧存194</w:t>
      </w:r>
      <w:r>
        <w:rPr>
          <w:rFonts w:hint="eastAsia" w:ascii="黑体" w:hAnsi="黑体" w:eastAsia="黑体"/>
          <w:sz w:val="32"/>
          <w:szCs w:val="32"/>
        </w:rPr>
        <w:t>件</w:t>
      </w:r>
      <w:r>
        <w:rPr>
          <w:rFonts w:ascii="黑体" w:hAnsi="黑体" w:eastAsia="黑体"/>
          <w:sz w:val="32"/>
          <w:szCs w:val="32"/>
        </w:rPr>
        <w:t>）</w:t>
      </w:r>
      <w:r>
        <w:rPr>
          <w:rFonts w:hint="eastAsia" w:ascii="黑体" w:hAnsi="黑体" w:eastAsia="黑体"/>
          <w:sz w:val="32"/>
          <w:szCs w:val="32"/>
        </w:rPr>
        <w:t>，结案</w:t>
      </w:r>
      <w:r>
        <w:rPr>
          <w:rFonts w:hint="eastAsia" w:ascii="黑体" w:hAnsi="黑体" w:eastAsia="黑体"/>
          <w:sz w:val="32"/>
          <w:szCs w:val="32"/>
          <w:lang w:val="en-US" w:eastAsia="zh-CN"/>
        </w:rPr>
        <w:t>949</w:t>
      </w:r>
      <w:r>
        <w:rPr>
          <w:rFonts w:hint="eastAsia" w:ascii="黑体" w:hAnsi="黑体" w:eastAsia="黑体"/>
          <w:sz w:val="32"/>
          <w:szCs w:val="32"/>
        </w:rPr>
        <w:t>件，</w:t>
      </w:r>
      <w:r>
        <w:rPr>
          <w:rFonts w:ascii="黑体" w:hAnsi="黑体" w:eastAsia="黑体"/>
          <w:sz w:val="32"/>
          <w:szCs w:val="32"/>
        </w:rPr>
        <w:t>结案率为</w:t>
      </w:r>
      <w:r>
        <w:rPr>
          <w:rFonts w:hint="eastAsia" w:ascii="黑体" w:hAnsi="黑体" w:eastAsia="黑体"/>
          <w:sz w:val="32"/>
          <w:szCs w:val="32"/>
        </w:rPr>
        <w:t>8</w:t>
      </w:r>
      <w:r>
        <w:rPr>
          <w:rFonts w:hint="eastAsia" w:ascii="黑体" w:hAnsi="黑体" w:eastAsia="黑体"/>
          <w:sz w:val="32"/>
          <w:szCs w:val="32"/>
          <w:lang w:val="en-US" w:eastAsia="zh-CN"/>
        </w:rPr>
        <w:t>4.28</w:t>
      </w:r>
      <w:r>
        <w:rPr>
          <w:rFonts w:ascii="黑体" w:hAnsi="黑体" w:eastAsia="黑体"/>
          <w:sz w:val="32"/>
          <w:szCs w:val="32"/>
        </w:rPr>
        <w:t>%；受理执行案件</w:t>
      </w:r>
      <w:r>
        <w:rPr>
          <w:rFonts w:hint="eastAsia" w:ascii="黑体" w:hAnsi="黑体" w:eastAsia="黑体"/>
          <w:sz w:val="32"/>
          <w:szCs w:val="32"/>
          <w:lang w:val="en-US" w:eastAsia="zh-CN"/>
        </w:rPr>
        <w:t>730</w:t>
      </w:r>
      <w:r>
        <w:rPr>
          <w:rFonts w:hint="eastAsia" w:ascii="黑体" w:hAnsi="黑体" w:eastAsia="黑体"/>
          <w:sz w:val="32"/>
          <w:szCs w:val="32"/>
        </w:rPr>
        <w:t>件</w:t>
      </w:r>
      <w:r>
        <w:rPr>
          <w:rFonts w:ascii="黑体" w:hAnsi="黑体" w:eastAsia="黑体"/>
          <w:sz w:val="32"/>
          <w:szCs w:val="32"/>
        </w:rPr>
        <w:t>（含旧存</w:t>
      </w:r>
      <w:r>
        <w:rPr>
          <w:rFonts w:hint="eastAsia" w:ascii="黑体" w:hAnsi="黑体" w:eastAsia="黑体"/>
          <w:sz w:val="32"/>
          <w:szCs w:val="32"/>
        </w:rPr>
        <w:t>185件</w:t>
      </w:r>
      <w:r>
        <w:rPr>
          <w:rFonts w:ascii="黑体" w:hAnsi="黑体" w:eastAsia="黑体"/>
          <w:sz w:val="32"/>
          <w:szCs w:val="32"/>
        </w:rPr>
        <w:t>），结案</w:t>
      </w:r>
      <w:r>
        <w:rPr>
          <w:rFonts w:hint="eastAsia" w:ascii="黑体" w:hAnsi="黑体" w:eastAsia="黑体"/>
          <w:sz w:val="32"/>
          <w:szCs w:val="32"/>
          <w:lang w:val="en-US" w:eastAsia="zh-CN"/>
        </w:rPr>
        <w:t>605</w:t>
      </w:r>
      <w:r>
        <w:rPr>
          <w:rFonts w:hint="eastAsia" w:ascii="黑体" w:hAnsi="黑体" w:eastAsia="黑体"/>
          <w:sz w:val="32"/>
          <w:szCs w:val="32"/>
        </w:rPr>
        <w:t>件，</w:t>
      </w:r>
      <w:r>
        <w:rPr>
          <w:rFonts w:ascii="黑体" w:hAnsi="黑体" w:eastAsia="黑体"/>
          <w:sz w:val="32"/>
          <w:szCs w:val="32"/>
        </w:rPr>
        <w:t>结案率为</w:t>
      </w:r>
      <w:r>
        <w:rPr>
          <w:rFonts w:hint="eastAsia" w:ascii="黑体" w:hAnsi="黑体" w:eastAsia="黑体"/>
          <w:sz w:val="32"/>
          <w:szCs w:val="32"/>
          <w:lang w:val="en-US" w:eastAsia="zh-CN"/>
        </w:rPr>
        <w:t>82.88</w:t>
      </w:r>
      <w:r>
        <w:rPr>
          <w:rFonts w:ascii="黑体" w:hAnsi="黑体" w:eastAsia="黑体"/>
          <w:sz w:val="32"/>
          <w:szCs w:val="32"/>
        </w:rPr>
        <w:t>%</w:t>
      </w:r>
      <w:r>
        <w:rPr>
          <w:rFonts w:hint="eastAsia" w:ascii="黑体" w:hAnsi="黑体" w:eastAsia="黑体"/>
          <w:sz w:val="32"/>
          <w:szCs w:val="32"/>
        </w:rPr>
        <w:t>。应继续加大结案力度。</w:t>
      </w:r>
    </w:p>
    <w:p>
      <w:pPr>
        <w:rPr>
          <w:rFonts w:ascii="黑体" w:hAnsi="黑体" w:eastAsia="黑体"/>
          <w:sz w:val="32"/>
          <w:szCs w:val="32"/>
        </w:rPr>
      </w:pPr>
      <w:r>
        <w:rPr>
          <w:rFonts w:hint="eastAsia" w:ascii="仿宋_GB2312" w:hAnsi="仿宋_GB2312" w:eastAsia="仿宋_GB2312"/>
          <w:sz w:val="32"/>
          <w:szCs w:val="32"/>
        </w:rPr>
        <w:drawing>
          <wp:inline distT="0" distB="0" distL="114300" distR="114300">
            <wp:extent cx="5260975" cy="201739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firstLine="643" w:firstLineChars="200"/>
        <w:outlineLvl w:val="1"/>
        <w:rPr>
          <w:rFonts w:ascii="仿宋_GB2312" w:eastAsia="仿宋_GB2312"/>
          <w:b/>
          <w:sz w:val="32"/>
          <w:szCs w:val="32"/>
        </w:rPr>
      </w:pPr>
      <w:r>
        <w:rPr>
          <w:rFonts w:hint="eastAsia" w:ascii="仿宋_GB2312" w:eastAsia="仿宋_GB2312"/>
          <w:b/>
          <w:sz w:val="32"/>
          <w:szCs w:val="32"/>
        </w:rPr>
        <w:t>（四）规范立案</w:t>
      </w:r>
      <w:r>
        <w:rPr>
          <w:rFonts w:ascii="仿宋_GB2312" w:eastAsia="仿宋_GB2312"/>
          <w:b/>
          <w:sz w:val="32"/>
          <w:szCs w:val="32"/>
        </w:rPr>
        <w:t>行为工作情况指标</w:t>
      </w:r>
      <w:r>
        <w:rPr>
          <w:rFonts w:hint="eastAsia" w:ascii="仿宋_GB2312" w:eastAsia="仿宋_GB2312"/>
          <w:b/>
          <w:sz w:val="32"/>
          <w:szCs w:val="32"/>
        </w:rPr>
        <w:t>（2分）</w:t>
      </w:r>
    </w:p>
    <w:p>
      <w:pPr>
        <w:ind w:firstLine="640" w:firstLineChars="200"/>
        <w:rPr>
          <w:rFonts w:ascii="仿宋_GB2312" w:eastAsia="仿宋_GB2312"/>
          <w:sz w:val="32"/>
          <w:szCs w:val="32"/>
        </w:rPr>
      </w:pPr>
      <w:r>
        <w:rPr>
          <w:rFonts w:hint="eastAsia" w:ascii="仿宋_GB2312" w:eastAsia="仿宋_GB2312"/>
          <w:sz w:val="32"/>
          <w:szCs w:val="32"/>
        </w:rPr>
        <w:t>用于</w:t>
      </w:r>
      <w:r>
        <w:rPr>
          <w:rFonts w:ascii="仿宋_GB2312" w:eastAsia="仿宋_GB2312"/>
          <w:sz w:val="32"/>
          <w:szCs w:val="32"/>
        </w:rPr>
        <w:t>考核</w:t>
      </w:r>
      <w:r>
        <w:rPr>
          <w:rFonts w:hint="eastAsia" w:ascii="仿宋_GB2312" w:eastAsia="仿宋_GB2312"/>
          <w:sz w:val="32"/>
          <w:szCs w:val="32"/>
        </w:rPr>
        <w:t>规范</w:t>
      </w:r>
      <w:r>
        <w:rPr>
          <w:rFonts w:ascii="仿宋_GB2312" w:eastAsia="仿宋_GB2312"/>
          <w:sz w:val="32"/>
          <w:szCs w:val="32"/>
        </w:rPr>
        <w:t>立案行为情况，年度内动态</w:t>
      </w:r>
      <w:r>
        <w:rPr>
          <w:rFonts w:hint="eastAsia" w:ascii="仿宋_GB2312" w:eastAsia="仿宋_GB2312"/>
          <w:sz w:val="32"/>
          <w:szCs w:val="32"/>
        </w:rPr>
        <w:t>考核</w:t>
      </w:r>
      <w:r>
        <w:rPr>
          <w:rFonts w:ascii="仿宋_GB2312" w:eastAsia="仿宋_GB2312"/>
          <w:sz w:val="32"/>
          <w:szCs w:val="32"/>
        </w:rPr>
        <w:t>。人民法院</w:t>
      </w:r>
      <w:r>
        <w:rPr>
          <w:rFonts w:hint="eastAsia" w:ascii="仿宋_GB2312" w:eastAsia="仿宋_GB2312"/>
          <w:sz w:val="32"/>
          <w:szCs w:val="32"/>
        </w:rPr>
        <w:t>应当依法</w:t>
      </w:r>
      <w:r>
        <w:rPr>
          <w:rFonts w:ascii="仿宋_GB2312" w:eastAsia="仿宋_GB2312"/>
          <w:sz w:val="32"/>
          <w:szCs w:val="32"/>
        </w:rPr>
        <w:t>受理符合法律规定条件的案件，杜绝“有</w:t>
      </w:r>
      <w:r>
        <w:rPr>
          <w:rFonts w:hint="eastAsia" w:ascii="仿宋_GB2312" w:eastAsia="仿宋_GB2312"/>
          <w:sz w:val="32"/>
          <w:szCs w:val="32"/>
        </w:rPr>
        <w:t>案不</w:t>
      </w:r>
      <w:r>
        <w:rPr>
          <w:rFonts w:ascii="仿宋_GB2312" w:eastAsia="仿宋_GB2312"/>
          <w:sz w:val="32"/>
          <w:szCs w:val="32"/>
        </w:rPr>
        <w:t>及时立</w:t>
      </w:r>
      <w:r>
        <w:rPr>
          <w:rFonts w:hint="eastAsia" w:ascii="仿宋_GB2312" w:eastAsia="仿宋_GB2312"/>
          <w:sz w:val="32"/>
          <w:szCs w:val="32"/>
        </w:rPr>
        <w:t>、</w:t>
      </w:r>
      <w:r>
        <w:rPr>
          <w:rFonts w:ascii="仿宋_GB2312" w:eastAsia="仿宋_GB2312"/>
          <w:sz w:val="32"/>
          <w:szCs w:val="32"/>
        </w:rPr>
        <w:t>变相限制立案、拖延立案、拖延移送”等不规范立案现象。</w:t>
      </w:r>
    </w:p>
    <w:p>
      <w:pPr>
        <w:ind w:firstLine="640" w:firstLineChars="200"/>
        <w:rPr>
          <w:rFonts w:ascii="黑体" w:hAnsi="黑体" w:eastAsia="黑体"/>
          <w:sz w:val="32"/>
          <w:szCs w:val="32"/>
        </w:rPr>
      </w:pPr>
      <w:r>
        <w:rPr>
          <w:rFonts w:hint="eastAsia" w:ascii="仿宋_GB2312" w:eastAsia="仿宋_GB2312"/>
          <w:sz w:val="32"/>
          <w:szCs w:val="32"/>
        </w:rPr>
        <w:t>对</w:t>
      </w:r>
      <w:r>
        <w:rPr>
          <w:rFonts w:ascii="仿宋_GB2312" w:eastAsia="仿宋_GB2312"/>
          <w:sz w:val="32"/>
          <w:szCs w:val="32"/>
        </w:rPr>
        <w:t>督查检查发现或者举报投诉等不同</w:t>
      </w:r>
      <w:r>
        <w:rPr>
          <w:rFonts w:hint="eastAsia" w:ascii="仿宋_GB2312" w:eastAsia="仿宋_GB2312"/>
          <w:sz w:val="32"/>
          <w:szCs w:val="32"/>
        </w:rPr>
        <w:t>方式</w:t>
      </w:r>
      <w:r>
        <w:rPr>
          <w:rFonts w:ascii="仿宋_GB2312" w:eastAsia="仿宋_GB2312"/>
          <w:sz w:val="32"/>
          <w:szCs w:val="32"/>
        </w:rPr>
        <w:t>发现的不</w:t>
      </w:r>
      <w:r>
        <w:rPr>
          <w:rFonts w:hint="eastAsia" w:ascii="仿宋_GB2312" w:eastAsia="仿宋_GB2312"/>
          <w:sz w:val="32"/>
          <w:szCs w:val="32"/>
        </w:rPr>
        <w:t>立案</w:t>
      </w:r>
      <w:r>
        <w:rPr>
          <w:rFonts w:ascii="仿宋_GB2312" w:eastAsia="仿宋_GB2312"/>
          <w:sz w:val="32"/>
          <w:szCs w:val="32"/>
        </w:rPr>
        <w:t>、变相限制立案、拖延立案、拖延移送</w:t>
      </w:r>
      <w:r>
        <w:rPr>
          <w:rFonts w:hint="eastAsia" w:ascii="仿宋_GB2312" w:eastAsia="仿宋_GB2312"/>
          <w:sz w:val="32"/>
          <w:szCs w:val="32"/>
        </w:rPr>
        <w:t>等</w:t>
      </w:r>
      <w:r>
        <w:rPr>
          <w:rFonts w:ascii="仿宋_GB2312" w:eastAsia="仿宋_GB2312"/>
          <w:sz w:val="32"/>
          <w:szCs w:val="32"/>
        </w:rPr>
        <w:t>问题查证属实</w:t>
      </w:r>
      <w:r>
        <w:rPr>
          <w:rFonts w:hint="eastAsia" w:ascii="仿宋_GB2312" w:eastAsia="仿宋_GB2312"/>
          <w:sz w:val="32"/>
          <w:szCs w:val="32"/>
        </w:rPr>
        <w:t>的</w:t>
      </w:r>
      <w:r>
        <w:rPr>
          <w:rFonts w:ascii="仿宋_GB2312" w:eastAsia="仿宋_GB2312"/>
          <w:sz w:val="32"/>
          <w:szCs w:val="32"/>
        </w:rPr>
        <w:t>以及不按规定摆放规范立案行为举报投诉电话告知牌的，每查实</w:t>
      </w:r>
      <w:r>
        <w:rPr>
          <w:rFonts w:hint="eastAsia" w:ascii="仿宋_GB2312" w:eastAsia="仿宋_GB2312"/>
          <w:sz w:val="32"/>
          <w:szCs w:val="32"/>
        </w:rPr>
        <w:t>1件</w:t>
      </w:r>
      <w:r>
        <w:rPr>
          <w:rFonts w:ascii="仿宋_GB2312" w:eastAsia="仿宋_GB2312"/>
          <w:sz w:val="32"/>
          <w:szCs w:val="32"/>
        </w:rPr>
        <w:t>（起）减</w:t>
      </w:r>
      <w:r>
        <w:rPr>
          <w:rFonts w:hint="eastAsia" w:ascii="仿宋_GB2312" w:eastAsia="仿宋_GB2312"/>
          <w:sz w:val="32"/>
          <w:szCs w:val="32"/>
        </w:rPr>
        <w:t>1分</w:t>
      </w:r>
      <w:r>
        <w:rPr>
          <w:rFonts w:ascii="仿宋_GB2312" w:eastAsia="仿宋_GB2312"/>
          <w:sz w:val="32"/>
          <w:szCs w:val="32"/>
        </w:rPr>
        <w:t>，减分以</w:t>
      </w:r>
      <w:r>
        <w:rPr>
          <w:rFonts w:hint="eastAsia" w:ascii="仿宋_GB2312" w:eastAsia="仿宋_GB2312"/>
          <w:sz w:val="32"/>
          <w:szCs w:val="32"/>
        </w:rPr>
        <w:t>2分</w:t>
      </w:r>
      <w:r>
        <w:rPr>
          <w:rFonts w:ascii="仿宋_GB2312" w:eastAsia="仿宋_GB2312"/>
          <w:sz w:val="32"/>
          <w:szCs w:val="32"/>
        </w:rPr>
        <w:t>为限，查实超</w:t>
      </w:r>
      <w:r>
        <w:rPr>
          <w:rFonts w:hint="eastAsia" w:ascii="仿宋_GB2312" w:eastAsia="仿宋_GB2312"/>
          <w:sz w:val="32"/>
          <w:szCs w:val="32"/>
        </w:rPr>
        <w:t>3件</w:t>
      </w:r>
      <w:r>
        <w:rPr>
          <w:rFonts w:ascii="仿宋_GB2312" w:eastAsia="仿宋_GB2312"/>
          <w:sz w:val="32"/>
          <w:szCs w:val="32"/>
        </w:rPr>
        <w:t>（起）的绩效考核降一档。</w:t>
      </w: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w:t>
      </w:r>
      <w:r>
        <w:rPr>
          <w:rFonts w:ascii="黑体" w:hAnsi="黑体" w:eastAsia="黑体"/>
          <w:sz w:val="32"/>
          <w:szCs w:val="32"/>
        </w:rPr>
        <w:t>，我院始终保持规范</w:t>
      </w:r>
      <w:r>
        <w:rPr>
          <w:rFonts w:hint="eastAsia" w:ascii="黑体" w:hAnsi="黑体" w:eastAsia="黑体"/>
          <w:sz w:val="32"/>
          <w:szCs w:val="32"/>
        </w:rPr>
        <w:t>立案</w:t>
      </w:r>
      <w:r>
        <w:rPr>
          <w:rFonts w:ascii="黑体" w:hAnsi="黑体" w:eastAsia="黑体"/>
          <w:sz w:val="32"/>
          <w:szCs w:val="32"/>
        </w:rPr>
        <w:t>，不存在“有</w:t>
      </w:r>
      <w:r>
        <w:rPr>
          <w:rFonts w:hint="eastAsia" w:ascii="黑体" w:hAnsi="黑体" w:eastAsia="黑体"/>
          <w:sz w:val="32"/>
          <w:szCs w:val="32"/>
        </w:rPr>
        <w:t>案不</w:t>
      </w:r>
      <w:r>
        <w:rPr>
          <w:rFonts w:ascii="黑体" w:hAnsi="黑体" w:eastAsia="黑体"/>
          <w:sz w:val="32"/>
          <w:szCs w:val="32"/>
        </w:rPr>
        <w:t>及时立</w:t>
      </w:r>
      <w:r>
        <w:rPr>
          <w:rFonts w:hint="eastAsia" w:ascii="黑体" w:hAnsi="黑体" w:eastAsia="黑体"/>
          <w:sz w:val="32"/>
          <w:szCs w:val="32"/>
        </w:rPr>
        <w:t>、</w:t>
      </w:r>
      <w:r>
        <w:rPr>
          <w:rFonts w:ascii="黑体" w:hAnsi="黑体" w:eastAsia="黑体"/>
          <w:sz w:val="32"/>
          <w:szCs w:val="32"/>
        </w:rPr>
        <w:t>变相限制立案、拖延立案、拖延移送”等不规范立案现象</w:t>
      </w:r>
      <w:r>
        <w:rPr>
          <w:rFonts w:hint="eastAsia" w:ascii="黑体" w:hAnsi="黑体" w:eastAsia="黑体"/>
          <w:sz w:val="32"/>
          <w:szCs w:val="32"/>
        </w:rPr>
        <w:t>。</w:t>
      </w:r>
    </w:p>
    <w:p>
      <w:pPr>
        <w:ind w:firstLine="643" w:firstLineChars="200"/>
        <w:outlineLvl w:val="1"/>
        <w:rPr>
          <w:rFonts w:ascii="仿宋_GB2312" w:eastAsia="仿宋_GB2312"/>
          <w:b/>
          <w:sz w:val="32"/>
          <w:szCs w:val="32"/>
        </w:rPr>
      </w:pPr>
      <w:r>
        <w:rPr>
          <w:rFonts w:hint="eastAsia" w:ascii="仿宋_GB2312" w:eastAsia="仿宋_GB2312"/>
          <w:b/>
          <w:sz w:val="32"/>
          <w:szCs w:val="32"/>
        </w:rPr>
        <w:t>（五）长期未结诉讼案件占比指标（2分）</w:t>
      </w:r>
    </w:p>
    <w:p>
      <w:pPr>
        <w:ind w:firstLine="640" w:firstLineChars="200"/>
        <w:rPr>
          <w:rFonts w:ascii="仿宋_GB2312" w:hAnsi="仿宋_GB2312" w:eastAsia="仿宋_GB2312"/>
          <w:sz w:val="32"/>
          <w:szCs w:val="32"/>
        </w:rPr>
      </w:pPr>
      <w:r>
        <w:rPr>
          <w:rFonts w:hint="eastAsia" w:ascii="仿宋_GB2312" w:eastAsia="仿宋_GB2312"/>
          <w:sz w:val="32"/>
          <w:szCs w:val="32"/>
        </w:rPr>
        <w:t>长期未结诉讼案件占比</w:t>
      </w:r>
      <w:r>
        <w:rPr>
          <w:rFonts w:ascii="仿宋_GB2312" w:eastAsia="仿宋_GB2312"/>
          <w:sz w:val="32"/>
          <w:szCs w:val="32"/>
        </w:rPr>
        <w:t>=统计期内</w:t>
      </w:r>
      <w:r>
        <w:rPr>
          <w:rFonts w:hint="eastAsia" w:ascii="仿宋_GB2312" w:eastAsia="仿宋_GB2312"/>
          <w:sz w:val="32"/>
          <w:szCs w:val="32"/>
        </w:rPr>
        <w:t>长期未结诉讼案件数/</w:t>
      </w:r>
      <w:r>
        <w:rPr>
          <w:rFonts w:hint="eastAsia" w:ascii="仿宋_GB2312" w:hAnsi="仿宋_GB2312" w:eastAsia="仿宋_GB2312"/>
          <w:sz w:val="32"/>
          <w:szCs w:val="32"/>
        </w:rPr>
        <w:t>[上年</w:t>
      </w:r>
      <w:r>
        <w:rPr>
          <w:rFonts w:ascii="仿宋_GB2312" w:hAnsi="仿宋_GB2312" w:eastAsia="仿宋_GB2312"/>
          <w:sz w:val="32"/>
          <w:szCs w:val="32"/>
        </w:rPr>
        <w:t>旧存</w:t>
      </w:r>
      <w:r>
        <w:rPr>
          <w:rFonts w:hint="eastAsia" w:ascii="仿宋_GB2312" w:hAnsi="仿宋_GB2312" w:eastAsia="仿宋_GB2312"/>
          <w:sz w:val="32"/>
          <w:szCs w:val="32"/>
        </w:rPr>
        <w:t>诉讼案件数</w:t>
      </w:r>
      <w:r>
        <w:rPr>
          <w:rFonts w:ascii="仿宋_GB2312" w:hAnsi="仿宋_GB2312" w:eastAsia="仿宋_GB2312"/>
          <w:sz w:val="32"/>
          <w:szCs w:val="32"/>
        </w:rPr>
        <w:t>+本</w:t>
      </w:r>
      <w:r>
        <w:rPr>
          <w:rFonts w:hint="eastAsia" w:ascii="仿宋_GB2312" w:hAnsi="仿宋_GB2312" w:eastAsia="仿宋_GB2312"/>
          <w:sz w:val="32"/>
          <w:szCs w:val="32"/>
        </w:rPr>
        <w:t>半</w:t>
      </w:r>
      <w:r>
        <w:rPr>
          <w:rFonts w:ascii="仿宋_GB2312" w:hAnsi="仿宋_GB2312" w:eastAsia="仿宋_GB2312"/>
          <w:sz w:val="32"/>
          <w:szCs w:val="32"/>
        </w:rPr>
        <w:t>年</w:t>
      </w:r>
      <w:r>
        <w:rPr>
          <w:rFonts w:hint="eastAsia" w:ascii="仿宋_GB2312" w:hAnsi="仿宋_GB2312" w:eastAsia="仿宋_GB2312"/>
          <w:sz w:val="32"/>
          <w:szCs w:val="32"/>
        </w:rPr>
        <w:t>（</w:t>
      </w:r>
      <w:r>
        <w:rPr>
          <w:rFonts w:ascii="仿宋_GB2312" w:hAnsi="仿宋_GB2312" w:eastAsia="仿宋_GB2312"/>
          <w:sz w:val="32"/>
          <w:szCs w:val="32"/>
        </w:rPr>
        <w:t>本年</w:t>
      </w:r>
      <w:r>
        <w:rPr>
          <w:rFonts w:hint="eastAsia" w:ascii="仿宋_GB2312" w:hAnsi="仿宋_GB2312" w:eastAsia="仿宋_GB2312"/>
          <w:sz w:val="32"/>
          <w:szCs w:val="32"/>
        </w:rPr>
        <w:t>）</w:t>
      </w:r>
      <w:r>
        <w:rPr>
          <w:rFonts w:ascii="仿宋_GB2312" w:hAnsi="仿宋_GB2312" w:eastAsia="仿宋_GB2312"/>
          <w:sz w:val="32"/>
          <w:szCs w:val="32"/>
        </w:rPr>
        <w:t>新收诉讼案件数</w:t>
      </w:r>
      <w:r>
        <w:rPr>
          <w:rFonts w:hint="eastAsia" w:ascii="仿宋_GB2312" w:hAnsi="仿宋_GB2312" w:eastAsia="仿宋_GB2312"/>
          <w:sz w:val="32"/>
          <w:szCs w:val="32"/>
        </w:rPr>
        <w:t>]。用于考核</w:t>
      </w:r>
      <w:r>
        <w:rPr>
          <w:rFonts w:hint="eastAsia" w:ascii="仿宋_GB2312" w:eastAsia="仿宋_GB2312"/>
          <w:sz w:val="32"/>
          <w:szCs w:val="32"/>
        </w:rPr>
        <w:t>长期未结诉讼案件占比情况</w:t>
      </w:r>
      <w:r>
        <w:rPr>
          <w:rFonts w:ascii="仿宋_GB2312" w:eastAsia="仿宋_GB2312"/>
          <w:sz w:val="32"/>
          <w:szCs w:val="32"/>
        </w:rPr>
        <w:t>。</w:t>
      </w:r>
      <w:r>
        <w:rPr>
          <w:rFonts w:hint="eastAsia" w:ascii="仿宋_GB2312" w:eastAsia="仿宋_GB2312"/>
          <w:sz w:val="32"/>
          <w:szCs w:val="32"/>
        </w:rPr>
        <w:t>各地</w:t>
      </w:r>
      <w:r>
        <w:rPr>
          <w:rFonts w:ascii="仿宋_GB2312" w:eastAsia="仿宋_GB2312"/>
          <w:sz w:val="32"/>
          <w:szCs w:val="32"/>
        </w:rPr>
        <w:t>（辖）区内有因被告人潜逃而致案件中止审理的，各中院应当在每个考核节点前</w:t>
      </w:r>
      <w:r>
        <w:rPr>
          <w:rFonts w:hint="eastAsia" w:ascii="仿宋_GB2312" w:eastAsia="仿宋_GB2312"/>
          <w:sz w:val="32"/>
          <w:szCs w:val="32"/>
        </w:rPr>
        <w:t>7日内</w:t>
      </w:r>
      <w:r>
        <w:rPr>
          <w:rFonts w:ascii="仿宋_GB2312" w:eastAsia="仿宋_GB2312"/>
          <w:sz w:val="32"/>
          <w:szCs w:val="32"/>
        </w:rPr>
        <w:t>向省法院审管办上报中止裁定，经核实后予以扣除。</w:t>
      </w:r>
      <w:r>
        <w:rPr>
          <w:rFonts w:hint="eastAsia" w:ascii="仿宋_GB2312" w:hAnsi="仿宋_GB2312" w:eastAsia="仿宋_GB2312"/>
          <w:sz w:val="32"/>
          <w:szCs w:val="32"/>
        </w:rPr>
        <w:t xml:space="preserve"> </w:t>
      </w:r>
    </w:p>
    <w:p>
      <w:pPr>
        <w:ind w:firstLine="640" w:firstLineChars="200"/>
        <w:rPr>
          <w:rFonts w:ascii="黑体" w:hAnsi="黑体" w:eastAsia="黑体"/>
          <w:sz w:val="32"/>
          <w:szCs w:val="32"/>
        </w:rPr>
      </w:pPr>
      <w:r>
        <w:rPr>
          <w:rFonts w:hint="eastAsia" w:ascii="仿宋_GB2312" w:eastAsia="仿宋_GB2312"/>
          <w:sz w:val="32"/>
          <w:szCs w:val="32"/>
        </w:rPr>
        <w:t>上半年、全年的长期未结诉讼案件占比考核基础分值各设定为</w:t>
      </w:r>
      <w:r>
        <w:rPr>
          <w:rFonts w:ascii="仿宋_GB2312" w:eastAsia="仿宋_GB2312"/>
          <w:sz w:val="32"/>
          <w:szCs w:val="32"/>
        </w:rPr>
        <w:t>1</w:t>
      </w:r>
      <w:r>
        <w:rPr>
          <w:rFonts w:hint="eastAsia" w:ascii="仿宋_GB2312" w:eastAsia="仿宋_GB2312"/>
          <w:sz w:val="32"/>
          <w:szCs w:val="32"/>
        </w:rPr>
        <w:t>分。至每个考核节点时，超12个月不满24个月的未结诉讼案件占比应当不超过</w:t>
      </w:r>
      <w:r>
        <w:rPr>
          <w:rFonts w:ascii="仿宋_GB2312" w:eastAsia="仿宋_GB2312"/>
          <w:sz w:val="32"/>
          <w:szCs w:val="32"/>
        </w:rPr>
        <w:t>2</w:t>
      </w:r>
      <w:r>
        <w:rPr>
          <w:rFonts w:hint="eastAsia" w:ascii="仿宋_GB2312" w:eastAsia="仿宋_GB2312"/>
          <w:sz w:val="32"/>
          <w:szCs w:val="32"/>
        </w:rPr>
        <w:t>%(州法院1%)，超过</w:t>
      </w:r>
      <w:r>
        <w:rPr>
          <w:rFonts w:ascii="仿宋_GB2312" w:eastAsia="仿宋_GB2312"/>
          <w:sz w:val="32"/>
          <w:szCs w:val="32"/>
        </w:rPr>
        <w:t>2</w:t>
      </w:r>
      <w:r>
        <w:rPr>
          <w:rFonts w:hint="eastAsia" w:ascii="仿宋_GB2312" w:eastAsia="仿宋_GB2312"/>
          <w:sz w:val="32"/>
          <w:szCs w:val="32"/>
        </w:rPr>
        <w:t>%对应的案件数（四舍五入取整数值）的，每1件减0.</w:t>
      </w:r>
      <w:r>
        <w:rPr>
          <w:rFonts w:ascii="仿宋_GB2312" w:eastAsia="仿宋_GB2312"/>
          <w:sz w:val="32"/>
          <w:szCs w:val="32"/>
        </w:rPr>
        <w:t>0</w:t>
      </w:r>
      <w:r>
        <w:rPr>
          <w:rFonts w:hint="eastAsia" w:ascii="仿宋_GB2312" w:eastAsia="仿宋_GB2312"/>
          <w:sz w:val="32"/>
          <w:szCs w:val="32"/>
        </w:rPr>
        <w:t>5分；超24个月的未结诉讼案件占比应当不超过</w:t>
      </w:r>
      <w:r>
        <w:rPr>
          <w:rFonts w:ascii="仿宋_GB2312" w:eastAsia="仿宋_GB2312"/>
          <w:sz w:val="32"/>
          <w:szCs w:val="32"/>
        </w:rPr>
        <w:t>0.1</w:t>
      </w:r>
      <w:r>
        <w:rPr>
          <w:rFonts w:hint="eastAsia" w:ascii="仿宋_GB2312" w:eastAsia="仿宋_GB2312"/>
          <w:sz w:val="32"/>
          <w:szCs w:val="32"/>
        </w:rPr>
        <w:t>%，超过</w:t>
      </w:r>
      <w:r>
        <w:rPr>
          <w:rFonts w:ascii="仿宋_GB2312" w:eastAsia="仿宋_GB2312"/>
          <w:sz w:val="32"/>
          <w:szCs w:val="32"/>
        </w:rPr>
        <w:t>0.1</w:t>
      </w:r>
      <w:r>
        <w:rPr>
          <w:rFonts w:hint="eastAsia" w:ascii="仿宋_GB2312" w:eastAsia="仿宋_GB2312"/>
          <w:sz w:val="32"/>
          <w:szCs w:val="32"/>
        </w:rPr>
        <w:t>%对应的案件数（四舍五入取整数值，对应的案件数小于1的按1件计算），每1件减</w:t>
      </w:r>
      <w:r>
        <w:rPr>
          <w:rFonts w:ascii="仿宋_GB2312" w:eastAsia="仿宋_GB2312"/>
          <w:sz w:val="32"/>
          <w:szCs w:val="32"/>
        </w:rPr>
        <w:t>0.1</w:t>
      </w:r>
      <w:r>
        <w:rPr>
          <w:rFonts w:hint="eastAsia" w:ascii="仿宋_GB2312" w:eastAsia="仿宋_GB2312"/>
          <w:sz w:val="32"/>
          <w:szCs w:val="32"/>
        </w:rPr>
        <w:t>分。每个考核节点减分以</w:t>
      </w:r>
      <w:r>
        <w:rPr>
          <w:rFonts w:ascii="仿宋_GB2312" w:eastAsia="仿宋_GB2312"/>
          <w:sz w:val="32"/>
          <w:szCs w:val="32"/>
        </w:rPr>
        <w:t>1</w:t>
      </w:r>
      <w:r>
        <w:rPr>
          <w:rFonts w:hint="eastAsia" w:ascii="仿宋_GB2312" w:eastAsia="仿宋_GB2312"/>
          <w:sz w:val="32"/>
          <w:szCs w:val="32"/>
        </w:rPr>
        <w:t>分为限，全年减分以</w:t>
      </w:r>
      <w:r>
        <w:rPr>
          <w:rFonts w:ascii="仿宋_GB2312" w:eastAsia="仿宋_GB2312"/>
          <w:sz w:val="32"/>
          <w:szCs w:val="32"/>
        </w:rPr>
        <w:t>2</w:t>
      </w:r>
      <w:r>
        <w:rPr>
          <w:rFonts w:hint="eastAsia" w:ascii="仿宋_GB2312" w:eastAsia="仿宋_GB2312"/>
          <w:sz w:val="32"/>
          <w:szCs w:val="32"/>
        </w:rPr>
        <w:t>分为限。</w:t>
      </w: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日，我院</w:t>
      </w:r>
      <w:r>
        <w:rPr>
          <w:rFonts w:hint="eastAsia" w:ascii="黑体" w:hAnsi="黑体" w:eastAsia="黑体"/>
          <w:sz w:val="32"/>
          <w:szCs w:val="32"/>
          <w:lang w:val="en-US" w:eastAsia="zh-CN"/>
        </w:rPr>
        <w:t>没有</w:t>
      </w:r>
      <w:r>
        <w:rPr>
          <w:rFonts w:hint="eastAsia" w:ascii="黑体" w:hAnsi="黑体" w:eastAsia="黑体"/>
          <w:sz w:val="32"/>
          <w:szCs w:val="32"/>
        </w:rPr>
        <w:t>超过12个月不满24个月的未结诉讼案件：</w:t>
      </w:r>
    </w:p>
    <w:p>
      <w:pPr>
        <w:ind w:firstLine="640" w:firstLineChars="200"/>
        <w:rPr>
          <w:rFonts w:ascii="黑体" w:hAnsi="黑体" w:eastAsia="黑体"/>
          <w:sz w:val="32"/>
          <w:szCs w:val="32"/>
        </w:rPr>
      </w:pP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日，我院共受理各类诉讼案件1</w:t>
      </w:r>
      <w:r>
        <w:rPr>
          <w:rFonts w:hint="eastAsia" w:ascii="黑体" w:hAnsi="黑体" w:eastAsia="黑体"/>
          <w:sz w:val="32"/>
          <w:szCs w:val="32"/>
          <w:lang w:val="en-US" w:eastAsia="zh-CN"/>
        </w:rPr>
        <w:t>1</w:t>
      </w:r>
      <w:r>
        <w:rPr>
          <w:rFonts w:hint="eastAsia" w:ascii="黑体" w:hAnsi="黑体" w:eastAsia="黑体"/>
          <w:sz w:val="32"/>
          <w:szCs w:val="32"/>
        </w:rPr>
        <w:t>26件，可有2</w:t>
      </w:r>
      <w:r>
        <w:rPr>
          <w:rFonts w:hint="eastAsia" w:ascii="黑体" w:hAnsi="黑体" w:eastAsia="黑体"/>
          <w:sz w:val="32"/>
          <w:szCs w:val="32"/>
          <w:lang w:val="en-US" w:eastAsia="zh-CN"/>
        </w:rPr>
        <w:t>2</w:t>
      </w:r>
      <w:r>
        <w:rPr>
          <w:rFonts w:hint="eastAsia" w:ascii="黑体" w:hAnsi="黑体" w:eastAsia="黑体"/>
          <w:sz w:val="32"/>
          <w:szCs w:val="32"/>
        </w:rPr>
        <w:t>件超过12个月不满24个月的未结诉讼案件</w:t>
      </w:r>
      <w:r>
        <w:rPr>
          <w:rFonts w:ascii="黑体" w:hAnsi="黑体" w:eastAsia="黑体"/>
          <w:sz w:val="32"/>
          <w:szCs w:val="32"/>
        </w:rPr>
        <w:t>。</w:t>
      </w:r>
      <w:r>
        <w:rPr>
          <w:rFonts w:hint="eastAsia" w:ascii="黑体" w:hAnsi="黑体" w:eastAsia="黑体"/>
          <w:sz w:val="32"/>
          <w:szCs w:val="32"/>
        </w:rPr>
        <w:t>我院</w:t>
      </w:r>
      <w:r>
        <w:rPr>
          <w:rFonts w:hint="eastAsia" w:ascii="黑体" w:hAnsi="黑体" w:eastAsia="黑体"/>
          <w:sz w:val="32"/>
          <w:szCs w:val="32"/>
          <w:lang w:val="en-US" w:eastAsia="zh-CN"/>
        </w:rPr>
        <w:t>目前没有</w:t>
      </w:r>
      <w:r>
        <w:rPr>
          <w:rFonts w:hint="eastAsia" w:ascii="黑体" w:hAnsi="黑体" w:eastAsia="黑体"/>
          <w:sz w:val="32"/>
          <w:szCs w:val="32"/>
        </w:rPr>
        <w:t>超过12个月不满24个月的未结诉讼案件，没有</w:t>
      </w:r>
      <w:r>
        <w:rPr>
          <w:rFonts w:ascii="黑体" w:hAnsi="黑体" w:eastAsia="黑体"/>
          <w:sz w:val="32"/>
          <w:szCs w:val="32"/>
        </w:rPr>
        <w:t>超过</w:t>
      </w:r>
      <w:r>
        <w:rPr>
          <w:rFonts w:hint="eastAsia" w:ascii="黑体" w:hAnsi="黑体" w:eastAsia="黑体"/>
          <w:sz w:val="32"/>
          <w:szCs w:val="32"/>
        </w:rPr>
        <w:t>24个月的未结诉讼案件，应当继续保持。</w:t>
      </w:r>
    </w:p>
    <w:p>
      <w:pPr>
        <w:ind w:firstLine="643" w:firstLineChars="200"/>
        <w:outlineLvl w:val="1"/>
        <w:rPr>
          <w:rFonts w:ascii="仿宋_GB2312" w:eastAsia="仿宋_GB2312"/>
          <w:b/>
          <w:sz w:val="32"/>
          <w:szCs w:val="32"/>
        </w:rPr>
      </w:pPr>
      <w:r>
        <w:rPr>
          <w:rFonts w:hint="eastAsia" w:ascii="仿宋_GB2312" w:eastAsia="仿宋_GB2312"/>
          <w:b/>
          <w:sz w:val="32"/>
          <w:szCs w:val="32"/>
        </w:rPr>
        <w:t>（六）一审案件上诉被改判、发回重审率指标（</w:t>
      </w:r>
      <w:r>
        <w:rPr>
          <w:rFonts w:ascii="仿宋_GB2312" w:eastAsia="仿宋_GB2312"/>
          <w:b/>
          <w:sz w:val="32"/>
          <w:szCs w:val="32"/>
        </w:rPr>
        <w:t>3</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一审案件</w:t>
      </w:r>
      <w:r>
        <w:rPr>
          <w:rFonts w:ascii="仿宋_GB2312" w:eastAsia="仿宋_GB2312"/>
          <w:sz w:val="32"/>
          <w:szCs w:val="32"/>
        </w:rPr>
        <w:t>上诉被改判、发回重审率=（上诉案件被改判数+上诉案件被</w:t>
      </w:r>
      <w:r>
        <w:rPr>
          <w:rFonts w:hint="eastAsia" w:ascii="仿宋_GB2312" w:eastAsia="仿宋_GB2312"/>
          <w:sz w:val="32"/>
          <w:szCs w:val="32"/>
        </w:rPr>
        <w:t>发回</w:t>
      </w:r>
      <w:r>
        <w:rPr>
          <w:rFonts w:ascii="仿宋_GB2312" w:eastAsia="仿宋_GB2312"/>
          <w:sz w:val="32"/>
          <w:szCs w:val="32"/>
        </w:rPr>
        <w:t>重审</w:t>
      </w:r>
      <w:r>
        <w:rPr>
          <w:rFonts w:hint="eastAsia" w:ascii="仿宋_GB2312" w:eastAsia="仿宋_GB2312"/>
          <w:sz w:val="32"/>
          <w:szCs w:val="32"/>
        </w:rPr>
        <w:t>数</w:t>
      </w:r>
      <w:r>
        <w:rPr>
          <w:rFonts w:ascii="仿宋_GB2312" w:eastAsia="仿宋_GB2312"/>
          <w:sz w:val="32"/>
          <w:szCs w:val="32"/>
        </w:rPr>
        <w:t>）</w:t>
      </w:r>
      <w:r>
        <w:rPr>
          <w:rFonts w:hint="eastAsia" w:ascii="仿宋_GB2312" w:eastAsia="仿宋_GB2312"/>
          <w:sz w:val="32"/>
          <w:szCs w:val="32"/>
        </w:rPr>
        <w:t>/一审</w:t>
      </w:r>
      <w:r>
        <w:rPr>
          <w:rFonts w:ascii="仿宋_GB2312" w:eastAsia="仿宋_GB2312"/>
          <w:sz w:val="32"/>
          <w:szCs w:val="32"/>
        </w:rPr>
        <w:t>诉讼案件结案数。</w:t>
      </w:r>
      <w:r>
        <w:rPr>
          <w:rFonts w:hint="eastAsia" w:ascii="仿宋_GB2312" w:eastAsia="仿宋_GB2312"/>
          <w:sz w:val="32"/>
          <w:szCs w:val="32"/>
        </w:rPr>
        <w:t>用于考核一审案件审判质量</w:t>
      </w:r>
      <w:r>
        <w:rPr>
          <w:rFonts w:ascii="仿宋_GB2312" w:eastAsia="仿宋_GB2312"/>
          <w:sz w:val="32"/>
          <w:szCs w:val="32"/>
        </w:rPr>
        <w:t>。</w:t>
      </w:r>
    </w:p>
    <w:p>
      <w:pPr>
        <w:ind w:firstLine="640" w:firstLineChars="200"/>
        <w:rPr>
          <w:rFonts w:ascii="黑体" w:hAnsi="黑体" w:eastAsia="黑体"/>
          <w:sz w:val="32"/>
          <w:szCs w:val="32"/>
        </w:rPr>
      </w:pPr>
      <w:r>
        <w:rPr>
          <w:rFonts w:hint="eastAsia" w:ascii="仿宋_GB2312" w:eastAsia="仿宋_GB2312"/>
          <w:sz w:val="32"/>
          <w:szCs w:val="32"/>
        </w:rPr>
        <w:t>上半年、全年对一审案件上诉被改判、发回重审率考核的基础分值各设定为</w:t>
      </w:r>
      <w:r>
        <w:rPr>
          <w:rFonts w:ascii="仿宋_GB2312" w:eastAsia="仿宋_GB2312"/>
          <w:sz w:val="32"/>
          <w:szCs w:val="32"/>
        </w:rPr>
        <w:t>1.5</w:t>
      </w:r>
      <w:r>
        <w:rPr>
          <w:rFonts w:hint="eastAsia" w:ascii="仿宋_GB2312" w:eastAsia="仿宋_GB2312"/>
          <w:sz w:val="32"/>
          <w:szCs w:val="32"/>
        </w:rPr>
        <w:t>分，基础发改率设定为3%，考核时不高于基础发改率的得</w:t>
      </w:r>
      <w:r>
        <w:rPr>
          <w:rFonts w:ascii="仿宋_GB2312" w:eastAsia="仿宋_GB2312"/>
          <w:sz w:val="32"/>
          <w:szCs w:val="32"/>
        </w:rPr>
        <w:t>1.5</w:t>
      </w:r>
      <w:r>
        <w:rPr>
          <w:rFonts w:hint="eastAsia" w:ascii="仿宋_GB2312" w:eastAsia="仿宋_GB2312"/>
          <w:sz w:val="32"/>
          <w:szCs w:val="32"/>
        </w:rPr>
        <w:t>分，每高于基础发改率0.1个百分点减0.1分，每个考核节点减分以</w:t>
      </w:r>
      <w:r>
        <w:rPr>
          <w:rFonts w:ascii="仿宋_GB2312" w:eastAsia="仿宋_GB2312"/>
          <w:sz w:val="32"/>
          <w:szCs w:val="32"/>
        </w:rPr>
        <w:t>1.5</w:t>
      </w:r>
      <w:r>
        <w:rPr>
          <w:rFonts w:hint="eastAsia" w:ascii="仿宋_GB2312" w:eastAsia="仿宋_GB2312"/>
          <w:sz w:val="32"/>
          <w:szCs w:val="32"/>
        </w:rPr>
        <w:t>分为限，全年减分以</w:t>
      </w:r>
      <w:r>
        <w:rPr>
          <w:rFonts w:ascii="仿宋_GB2312" w:eastAsia="仿宋_GB2312"/>
          <w:sz w:val="32"/>
          <w:szCs w:val="32"/>
        </w:rPr>
        <w:t>3</w:t>
      </w:r>
      <w:r>
        <w:rPr>
          <w:rFonts w:hint="eastAsia" w:ascii="仿宋_GB2312" w:eastAsia="仿宋_GB2312"/>
          <w:sz w:val="32"/>
          <w:szCs w:val="32"/>
        </w:rPr>
        <w:t>分为限。</w:t>
      </w: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日，我院一审上诉案件被改判</w:t>
      </w:r>
      <w:r>
        <w:rPr>
          <w:rFonts w:hint="eastAsia" w:ascii="黑体" w:hAnsi="黑体" w:eastAsia="黑体"/>
          <w:sz w:val="32"/>
          <w:szCs w:val="32"/>
          <w:lang w:val="en-US" w:eastAsia="zh-CN"/>
        </w:rPr>
        <w:t>20</w:t>
      </w:r>
      <w:r>
        <w:rPr>
          <w:rFonts w:hint="eastAsia" w:ascii="黑体" w:hAnsi="黑体" w:eastAsia="黑体"/>
          <w:sz w:val="32"/>
          <w:szCs w:val="32"/>
        </w:rPr>
        <w:t>件、发回重审</w:t>
      </w:r>
      <w:r>
        <w:rPr>
          <w:rFonts w:ascii="黑体" w:hAnsi="黑体" w:eastAsia="黑体"/>
          <w:sz w:val="32"/>
          <w:szCs w:val="32"/>
        </w:rPr>
        <w:t>2</w:t>
      </w:r>
      <w:r>
        <w:rPr>
          <w:rFonts w:hint="eastAsia" w:ascii="黑体" w:hAnsi="黑体" w:eastAsia="黑体"/>
          <w:sz w:val="32"/>
          <w:szCs w:val="32"/>
        </w:rPr>
        <w:t>件</w:t>
      </w:r>
      <w:r>
        <w:rPr>
          <w:rFonts w:ascii="黑体" w:hAnsi="黑体" w:eastAsia="黑体"/>
          <w:sz w:val="32"/>
          <w:szCs w:val="32"/>
        </w:rPr>
        <w:t>，共计</w:t>
      </w:r>
      <w:r>
        <w:rPr>
          <w:rFonts w:hint="eastAsia" w:ascii="黑体" w:hAnsi="黑体" w:eastAsia="黑体"/>
          <w:sz w:val="32"/>
          <w:szCs w:val="32"/>
          <w:lang w:val="en-US" w:eastAsia="zh-CN"/>
        </w:rPr>
        <w:t>22</w:t>
      </w:r>
      <w:r>
        <w:rPr>
          <w:rFonts w:hint="eastAsia" w:ascii="黑体" w:hAnsi="黑体" w:eastAsia="黑体"/>
          <w:sz w:val="32"/>
          <w:szCs w:val="32"/>
        </w:rPr>
        <w:t>件</w:t>
      </w:r>
      <w:r>
        <w:rPr>
          <w:rFonts w:ascii="黑体" w:hAnsi="黑体" w:eastAsia="黑体"/>
          <w:sz w:val="32"/>
          <w:szCs w:val="32"/>
        </w:rPr>
        <w:t>。</w:t>
      </w:r>
      <w:r>
        <w:rPr>
          <w:rFonts w:hint="eastAsia" w:ascii="黑体" w:hAnsi="黑体" w:eastAsia="黑体"/>
          <w:sz w:val="32"/>
          <w:szCs w:val="32"/>
        </w:rPr>
        <w:t>一审上诉案件被改判、发回重审率为</w:t>
      </w:r>
      <w:r>
        <w:rPr>
          <w:rFonts w:ascii="黑体" w:hAnsi="黑体" w:eastAsia="黑体"/>
          <w:sz w:val="32"/>
          <w:szCs w:val="32"/>
        </w:rPr>
        <w:t>2.</w:t>
      </w:r>
      <w:r>
        <w:rPr>
          <w:rFonts w:hint="eastAsia" w:ascii="黑体" w:hAnsi="黑体" w:eastAsia="黑体"/>
          <w:sz w:val="32"/>
          <w:szCs w:val="32"/>
          <w:lang w:val="en-US" w:eastAsia="zh-CN"/>
        </w:rPr>
        <w:t>39</w:t>
      </w:r>
      <w:r>
        <w:rPr>
          <w:rFonts w:ascii="黑体" w:hAnsi="黑体" w:eastAsia="黑体"/>
          <w:sz w:val="32"/>
          <w:szCs w:val="32"/>
        </w:rPr>
        <w:t>%</w:t>
      </w:r>
      <w:r>
        <w:rPr>
          <w:rFonts w:hint="eastAsia" w:ascii="黑体" w:hAnsi="黑体" w:eastAsia="黑体"/>
          <w:sz w:val="32"/>
          <w:szCs w:val="32"/>
        </w:rPr>
        <w:t>，没有超过</w:t>
      </w:r>
      <w:r>
        <w:rPr>
          <w:rFonts w:ascii="黑体" w:hAnsi="黑体" w:eastAsia="黑体"/>
          <w:sz w:val="32"/>
          <w:szCs w:val="32"/>
        </w:rPr>
        <w:t>基础发改率</w:t>
      </w:r>
      <w:r>
        <w:rPr>
          <w:rFonts w:hint="eastAsia" w:ascii="黑体" w:hAnsi="黑体" w:eastAsia="黑体"/>
          <w:sz w:val="32"/>
          <w:szCs w:val="32"/>
        </w:rPr>
        <w:t>，应当继续保持。</w:t>
      </w:r>
    </w:p>
    <w:p>
      <w:pPr>
        <w:rPr>
          <w:rFonts w:ascii="黑体" w:hAnsi="黑体" w:eastAsia="黑体"/>
          <w:sz w:val="32"/>
          <w:szCs w:val="32"/>
        </w:rPr>
      </w:pPr>
      <w:r>
        <w:rPr>
          <w:rFonts w:ascii="黑体" w:hAnsi="黑体" w:eastAsia="黑体"/>
          <w:sz w:val="32"/>
          <w:szCs w:val="32"/>
        </w:rPr>
        <w:object>
          <v:shape id="_x0000_i1028" o:spt="75" type="#_x0000_t75" style="height:168.5pt;width:386pt;" o:ole="t" filled="f" o:preferrelative="t" stroked="f" coordsize="21600,21600">
            <v:path/>
            <v:fill on="f" focussize="0,0"/>
            <v:stroke on="f"/>
            <v:imagedata r:id="rId16" o:title=""/>
            <o:lock v:ext="edit" aspectratio="t"/>
            <w10:wrap type="none"/>
            <w10:anchorlock/>
          </v:shape>
          <o:OLEObject Type="Embed" ProgID="Excel.Sheet.12" ShapeID="_x0000_i1028" DrawAspect="Content" ObjectID="_1468075728" r:id="rId15">
            <o:LockedField>false</o:LockedField>
          </o:OLEObject>
        </w:object>
      </w:r>
    </w:p>
    <w:p>
      <w:pPr>
        <w:ind w:firstLine="643" w:firstLineChars="200"/>
        <w:outlineLvl w:val="1"/>
        <w:rPr>
          <w:rFonts w:ascii="仿宋_GB2312" w:eastAsia="仿宋_GB2312"/>
          <w:b/>
          <w:sz w:val="32"/>
          <w:szCs w:val="32"/>
        </w:rPr>
      </w:pPr>
      <w:r>
        <w:rPr>
          <w:rFonts w:hint="eastAsia" w:ascii="仿宋_GB2312" w:eastAsia="仿宋_GB2312"/>
          <w:b/>
          <w:sz w:val="32"/>
          <w:szCs w:val="32"/>
        </w:rPr>
        <w:t>（七）生效案件再审被改判、发回重审率指标（</w:t>
      </w:r>
      <w:r>
        <w:rPr>
          <w:rFonts w:ascii="仿宋_GB2312" w:eastAsia="仿宋_GB2312"/>
          <w:b/>
          <w:sz w:val="32"/>
          <w:szCs w:val="32"/>
        </w:rPr>
        <w:t>3</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生效案件</w:t>
      </w:r>
      <w:r>
        <w:rPr>
          <w:rFonts w:ascii="仿宋_GB2312" w:eastAsia="仿宋_GB2312"/>
          <w:sz w:val="32"/>
          <w:szCs w:val="32"/>
        </w:rPr>
        <w:t>再审被改判、发回重审</w:t>
      </w:r>
      <w:r>
        <w:rPr>
          <w:rFonts w:hint="eastAsia" w:ascii="仿宋_GB2312" w:eastAsia="仿宋_GB2312"/>
          <w:sz w:val="32"/>
          <w:szCs w:val="32"/>
        </w:rPr>
        <w:t>率</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再审案件被改判</w:t>
      </w:r>
      <w:r>
        <w:rPr>
          <w:rFonts w:hint="eastAsia" w:ascii="仿宋_GB2312" w:eastAsia="仿宋_GB2312"/>
          <w:sz w:val="32"/>
          <w:szCs w:val="32"/>
        </w:rPr>
        <w:t>数</w:t>
      </w:r>
      <w:r>
        <w:rPr>
          <w:rFonts w:ascii="仿宋_GB2312" w:eastAsia="仿宋_GB2312"/>
          <w:sz w:val="32"/>
          <w:szCs w:val="32"/>
        </w:rPr>
        <w:t>+再审案件被发回重审数）</w:t>
      </w:r>
      <w:r>
        <w:rPr>
          <w:rFonts w:hint="eastAsia" w:ascii="仿宋_GB2312" w:eastAsia="仿宋_GB2312"/>
          <w:sz w:val="32"/>
          <w:szCs w:val="32"/>
        </w:rPr>
        <w:t>/生效案件</w:t>
      </w:r>
      <w:r>
        <w:rPr>
          <w:rFonts w:ascii="仿宋_GB2312" w:eastAsia="仿宋_GB2312"/>
          <w:sz w:val="32"/>
          <w:szCs w:val="32"/>
        </w:rPr>
        <w:t>总数。</w:t>
      </w:r>
      <w:r>
        <w:rPr>
          <w:rFonts w:hint="eastAsia" w:ascii="仿宋_GB2312" w:eastAsia="仿宋_GB2312"/>
          <w:sz w:val="32"/>
          <w:szCs w:val="32"/>
        </w:rPr>
        <w:t>用于考核生效案件</w:t>
      </w:r>
      <w:r>
        <w:rPr>
          <w:rFonts w:ascii="仿宋_GB2312" w:eastAsia="仿宋_GB2312"/>
          <w:sz w:val="32"/>
          <w:szCs w:val="32"/>
        </w:rPr>
        <w:t>审判质量。</w:t>
      </w:r>
    </w:p>
    <w:p>
      <w:pPr>
        <w:ind w:firstLine="640" w:firstLineChars="200"/>
        <w:rPr>
          <w:rFonts w:ascii="黑体" w:hAnsi="黑体" w:eastAsia="黑体"/>
          <w:sz w:val="32"/>
          <w:szCs w:val="32"/>
        </w:rPr>
      </w:pPr>
      <w:r>
        <w:rPr>
          <w:rFonts w:hint="eastAsia" w:ascii="仿宋_GB2312" w:eastAsia="仿宋_GB2312"/>
          <w:sz w:val="32"/>
          <w:szCs w:val="32"/>
        </w:rPr>
        <w:t>上半年、全年对生效案件再审被改判、发回重审率考核的基础分值各设定为</w:t>
      </w:r>
      <w:r>
        <w:rPr>
          <w:rFonts w:ascii="仿宋_GB2312" w:eastAsia="仿宋_GB2312"/>
          <w:sz w:val="32"/>
          <w:szCs w:val="32"/>
        </w:rPr>
        <w:t>1.5</w:t>
      </w:r>
      <w:r>
        <w:rPr>
          <w:rFonts w:hint="eastAsia" w:ascii="仿宋_GB2312" w:eastAsia="仿宋_GB2312"/>
          <w:sz w:val="32"/>
          <w:szCs w:val="32"/>
        </w:rPr>
        <w:t>分，基础发改率设定为0.</w:t>
      </w:r>
      <w:r>
        <w:rPr>
          <w:rFonts w:ascii="仿宋_GB2312" w:eastAsia="仿宋_GB2312"/>
          <w:sz w:val="32"/>
          <w:szCs w:val="32"/>
        </w:rPr>
        <w:t>3</w:t>
      </w:r>
      <w:r>
        <w:rPr>
          <w:rFonts w:hint="eastAsia" w:ascii="仿宋_GB2312" w:eastAsia="仿宋_GB2312"/>
          <w:sz w:val="32"/>
          <w:szCs w:val="32"/>
        </w:rPr>
        <w:t>5%（州法院0.25%），考核时不高于基础发改率的得</w:t>
      </w:r>
      <w:r>
        <w:rPr>
          <w:rFonts w:ascii="仿宋_GB2312" w:eastAsia="仿宋_GB2312"/>
          <w:sz w:val="32"/>
          <w:szCs w:val="32"/>
        </w:rPr>
        <w:t>1.5</w:t>
      </w:r>
      <w:r>
        <w:rPr>
          <w:rFonts w:hint="eastAsia" w:ascii="仿宋_GB2312" w:eastAsia="仿宋_GB2312"/>
          <w:sz w:val="32"/>
          <w:szCs w:val="32"/>
        </w:rPr>
        <w:t>分，高于基础发改率的予以减分，每高于基础发改率0.01个百分点减0.05分，每个考核节点减分以</w:t>
      </w:r>
      <w:r>
        <w:rPr>
          <w:rFonts w:ascii="仿宋_GB2312" w:eastAsia="仿宋_GB2312"/>
          <w:sz w:val="32"/>
          <w:szCs w:val="32"/>
        </w:rPr>
        <w:t>1.5</w:t>
      </w:r>
      <w:r>
        <w:rPr>
          <w:rFonts w:hint="eastAsia" w:ascii="仿宋_GB2312" w:eastAsia="仿宋_GB2312"/>
          <w:sz w:val="32"/>
          <w:szCs w:val="32"/>
        </w:rPr>
        <w:t>分为限，全年减分以</w:t>
      </w:r>
      <w:r>
        <w:rPr>
          <w:rFonts w:ascii="仿宋_GB2312" w:eastAsia="仿宋_GB2312"/>
          <w:sz w:val="32"/>
          <w:szCs w:val="32"/>
        </w:rPr>
        <w:t>3</w:t>
      </w:r>
      <w:r>
        <w:rPr>
          <w:rFonts w:hint="eastAsia" w:ascii="仿宋_GB2312" w:eastAsia="仿宋_GB2312"/>
          <w:sz w:val="32"/>
          <w:szCs w:val="32"/>
        </w:rPr>
        <w:t>分为限。</w:t>
      </w: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日，我院生效案件再审被发回重审、改判</w:t>
      </w:r>
      <w:r>
        <w:rPr>
          <w:rFonts w:ascii="黑体" w:hAnsi="黑体" w:eastAsia="黑体"/>
          <w:sz w:val="32"/>
          <w:szCs w:val="32"/>
        </w:rPr>
        <w:t>0</w:t>
      </w:r>
      <w:r>
        <w:rPr>
          <w:rFonts w:hint="eastAsia" w:ascii="黑体" w:hAnsi="黑体" w:eastAsia="黑体"/>
          <w:sz w:val="32"/>
          <w:szCs w:val="32"/>
        </w:rPr>
        <w:t>件，应当继续保持。</w:t>
      </w:r>
    </w:p>
    <w:p>
      <w:pPr>
        <w:ind w:firstLine="643" w:firstLineChars="200"/>
        <w:outlineLvl w:val="1"/>
        <w:rPr>
          <w:rFonts w:ascii="仿宋_GB2312" w:eastAsia="仿宋_GB2312"/>
          <w:b/>
          <w:sz w:val="32"/>
          <w:szCs w:val="32"/>
        </w:rPr>
      </w:pPr>
      <w:r>
        <w:rPr>
          <w:rFonts w:hint="eastAsia" w:ascii="仿宋_GB2312" w:eastAsia="仿宋_GB2312"/>
          <w:b/>
          <w:sz w:val="32"/>
          <w:szCs w:val="32"/>
        </w:rPr>
        <w:t>（八）改判、发回重审、指令再审案件评查情况指标（</w:t>
      </w:r>
      <w:r>
        <w:rPr>
          <w:rFonts w:ascii="仿宋_GB2312" w:eastAsia="仿宋_GB2312"/>
          <w:b/>
          <w:sz w:val="32"/>
          <w:szCs w:val="32"/>
        </w:rPr>
        <w:t>3</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用于</w:t>
      </w:r>
      <w:r>
        <w:rPr>
          <w:rFonts w:ascii="仿宋_GB2312" w:eastAsia="仿宋_GB2312"/>
          <w:sz w:val="32"/>
          <w:szCs w:val="32"/>
        </w:rPr>
        <w:t>考核改判、发回重审、指令再审案件评查机制落实情况，</w:t>
      </w:r>
      <w:r>
        <w:rPr>
          <w:rFonts w:hint="eastAsia" w:ascii="仿宋_GB2312" w:eastAsia="仿宋_GB2312"/>
          <w:sz w:val="32"/>
          <w:szCs w:val="32"/>
        </w:rPr>
        <w:t>按年度进行考核。各中院</w:t>
      </w:r>
      <w:r>
        <w:rPr>
          <w:rFonts w:ascii="仿宋_GB2312" w:eastAsia="仿宋_GB2312"/>
          <w:sz w:val="32"/>
          <w:szCs w:val="32"/>
        </w:rPr>
        <w:t>应建立改判、发回重审、指令再审案件评查机制，建立案件台账，跟踪裁判结果</w:t>
      </w:r>
      <w:r>
        <w:rPr>
          <w:rFonts w:hint="eastAsia" w:ascii="仿宋_GB2312" w:eastAsia="仿宋_GB2312"/>
          <w:sz w:val="32"/>
          <w:szCs w:val="32"/>
        </w:rPr>
        <w:t>，</w:t>
      </w:r>
      <w:r>
        <w:rPr>
          <w:rFonts w:ascii="仿宋_GB2312" w:eastAsia="仿宋_GB2312"/>
          <w:sz w:val="32"/>
          <w:szCs w:val="32"/>
        </w:rPr>
        <w:t>及时进行评查。</w:t>
      </w:r>
    </w:p>
    <w:p>
      <w:pPr>
        <w:ind w:firstLine="640" w:firstLineChars="200"/>
        <w:rPr>
          <w:rFonts w:ascii="黑体" w:hAnsi="黑体" w:eastAsia="黑体"/>
          <w:sz w:val="32"/>
          <w:szCs w:val="32"/>
        </w:rPr>
      </w:pP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w:t>
      </w:r>
      <w:r>
        <w:rPr>
          <w:rFonts w:ascii="仿宋_GB2312" w:eastAsia="仿宋_GB2312"/>
          <w:sz w:val="32"/>
          <w:szCs w:val="32"/>
        </w:rPr>
        <w:t>度</w:t>
      </w:r>
      <w:r>
        <w:rPr>
          <w:rFonts w:hint="eastAsia" w:ascii="仿宋_GB2312" w:eastAsia="仿宋_GB2312"/>
          <w:sz w:val="32"/>
          <w:szCs w:val="32"/>
        </w:rPr>
        <w:t>改判、发回重审、指令再审案件评查情况考核</w:t>
      </w:r>
      <w:r>
        <w:rPr>
          <w:rFonts w:ascii="仿宋_GB2312" w:eastAsia="仿宋_GB2312"/>
          <w:sz w:val="32"/>
          <w:szCs w:val="32"/>
        </w:rPr>
        <w:t>的基础分值设定为</w:t>
      </w:r>
      <w:r>
        <w:rPr>
          <w:rFonts w:hint="eastAsia" w:ascii="仿宋_GB2312" w:eastAsia="仿宋_GB2312"/>
          <w:sz w:val="32"/>
          <w:szCs w:val="32"/>
        </w:rPr>
        <w:t>2分</w:t>
      </w:r>
      <w:r>
        <w:rPr>
          <w:rFonts w:ascii="仿宋_GB2312" w:eastAsia="仿宋_GB2312"/>
          <w:sz w:val="32"/>
          <w:szCs w:val="32"/>
        </w:rPr>
        <w:t>。</w:t>
      </w:r>
      <w:r>
        <w:rPr>
          <w:rFonts w:hint="eastAsia" w:ascii="仿宋_GB2312" w:eastAsia="仿宋_GB2312"/>
          <w:sz w:val="32"/>
          <w:szCs w:val="32"/>
        </w:rPr>
        <w:t>未建立改判、发回重审、指令再审案评查机制的减2分；建立并实际开展评查的，各中院应于201</w:t>
      </w:r>
      <w:r>
        <w:rPr>
          <w:rFonts w:ascii="仿宋_GB2312" w:eastAsia="仿宋_GB2312"/>
          <w:sz w:val="32"/>
          <w:szCs w:val="32"/>
        </w:rPr>
        <w:t>9</w:t>
      </w:r>
      <w:r>
        <w:rPr>
          <w:rFonts w:hint="eastAsia" w:ascii="仿宋_GB2312" w:eastAsia="仿宋_GB2312"/>
          <w:sz w:val="32"/>
          <w:szCs w:val="32"/>
        </w:rPr>
        <w:t>年12月1</w:t>
      </w:r>
      <w:r>
        <w:rPr>
          <w:rFonts w:ascii="仿宋_GB2312" w:eastAsia="仿宋_GB2312"/>
          <w:sz w:val="32"/>
          <w:szCs w:val="32"/>
        </w:rPr>
        <w:t>5</w:t>
      </w:r>
      <w:r>
        <w:rPr>
          <w:rFonts w:hint="eastAsia" w:ascii="仿宋_GB2312" w:eastAsia="仿宋_GB2312"/>
          <w:sz w:val="32"/>
          <w:szCs w:val="32"/>
        </w:rPr>
        <w:t>日前组织所辖法院将评查报告上报至省法院，评查报告主要包括：（1）年度改判、发回重审、指令再审案件台账；；（2）评查结果总结分析；（3）对改判、发回重审、指令再审不当的认定和处理等。未及时开展评查活动、未按时提交评查报告的减1分。评查报告未涵盖上述主要内容的，每少一项减0.2分。</w:t>
      </w: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我院应评查案件11</w:t>
      </w:r>
      <w:r>
        <w:rPr>
          <w:rFonts w:hint="eastAsia" w:ascii="黑体" w:hAnsi="黑体" w:eastAsia="黑体"/>
          <w:sz w:val="32"/>
          <w:szCs w:val="32"/>
          <w:lang w:val="en-US" w:eastAsia="zh-CN"/>
        </w:rPr>
        <w:t>6</w:t>
      </w:r>
      <w:r>
        <w:rPr>
          <w:rFonts w:hint="eastAsia" w:ascii="黑体" w:hAnsi="黑体" w:eastAsia="黑体"/>
          <w:sz w:val="32"/>
          <w:szCs w:val="32"/>
        </w:rPr>
        <w:t>件（2017年1月1日</w:t>
      </w:r>
      <w:r>
        <w:rPr>
          <w:rFonts w:ascii="黑体" w:hAnsi="黑体" w:eastAsia="黑体"/>
          <w:sz w:val="32"/>
          <w:szCs w:val="32"/>
        </w:rPr>
        <w:t>至</w:t>
      </w:r>
      <w:r>
        <w:rPr>
          <w:rFonts w:hint="eastAsia" w:ascii="黑体" w:hAnsi="黑体" w:eastAsia="黑体"/>
          <w:sz w:val="32"/>
          <w:szCs w:val="32"/>
        </w:rPr>
        <w:t>2019年</w:t>
      </w:r>
      <w:r>
        <w:rPr>
          <w:rFonts w:hint="eastAsia" w:ascii="黑体" w:hAnsi="黑体" w:eastAsia="黑体"/>
          <w:sz w:val="32"/>
          <w:szCs w:val="32"/>
          <w:lang w:val="en-US" w:eastAsia="zh-CN"/>
        </w:rPr>
        <w:t>9</w:t>
      </w:r>
      <w:r>
        <w:rPr>
          <w:rFonts w:hint="eastAsia" w:ascii="黑体" w:hAnsi="黑体" w:eastAsia="黑体"/>
          <w:sz w:val="32"/>
          <w:szCs w:val="32"/>
        </w:rPr>
        <w:t>月3</w:t>
      </w:r>
      <w:r>
        <w:rPr>
          <w:rFonts w:hint="eastAsia" w:ascii="黑体" w:hAnsi="黑体" w:eastAsia="黑体"/>
          <w:sz w:val="32"/>
          <w:szCs w:val="32"/>
          <w:lang w:val="en-US" w:eastAsia="zh-CN"/>
        </w:rPr>
        <w:t>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，已经</w:t>
      </w:r>
      <w:r>
        <w:rPr>
          <w:rFonts w:ascii="黑体" w:hAnsi="黑体" w:eastAsia="黑体"/>
          <w:sz w:val="32"/>
          <w:szCs w:val="32"/>
        </w:rPr>
        <w:t>评查</w:t>
      </w:r>
      <w:r>
        <w:rPr>
          <w:rFonts w:hint="eastAsia" w:ascii="黑体" w:hAnsi="黑体" w:eastAsia="黑体"/>
          <w:sz w:val="32"/>
          <w:szCs w:val="32"/>
          <w:lang w:val="en-US" w:eastAsia="zh-CN"/>
        </w:rPr>
        <w:t>99</w:t>
      </w:r>
      <w:r>
        <w:rPr>
          <w:rFonts w:hint="eastAsia" w:ascii="黑体" w:hAnsi="黑体" w:eastAsia="黑体"/>
          <w:sz w:val="32"/>
          <w:szCs w:val="32"/>
        </w:rPr>
        <w:t>件</w:t>
      </w:r>
      <w:r>
        <w:rPr>
          <w:rFonts w:ascii="黑体" w:hAnsi="黑体" w:eastAsia="黑体"/>
          <w:sz w:val="32"/>
          <w:szCs w:val="32"/>
        </w:rPr>
        <w:t>，</w:t>
      </w:r>
      <w:r>
        <w:rPr>
          <w:rFonts w:hint="eastAsia" w:ascii="黑体" w:hAnsi="黑体" w:eastAsia="黑体"/>
          <w:sz w:val="32"/>
          <w:szCs w:val="32"/>
        </w:rPr>
        <w:t>未评查</w:t>
      </w:r>
      <w:r>
        <w:rPr>
          <w:rFonts w:hint="eastAsia" w:ascii="黑体" w:hAnsi="黑体" w:eastAsia="黑体"/>
          <w:sz w:val="32"/>
          <w:szCs w:val="32"/>
          <w:lang w:val="en-US" w:eastAsia="zh-CN"/>
        </w:rPr>
        <w:t>1</w:t>
      </w:r>
      <w:r>
        <w:rPr>
          <w:rFonts w:hint="eastAsia" w:ascii="黑体" w:hAnsi="黑体" w:eastAsia="黑体"/>
          <w:sz w:val="32"/>
          <w:szCs w:val="32"/>
        </w:rPr>
        <w:t>7件（</w:t>
      </w:r>
      <w:r>
        <w:rPr>
          <w:rFonts w:ascii="黑体" w:hAnsi="黑体" w:eastAsia="黑体"/>
          <w:sz w:val="32"/>
          <w:szCs w:val="32"/>
        </w:rPr>
        <w:t>包括发回重审未生效案件</w:t>
      </w:r>
      <w:r>
        <w:rPr>
          <w:rFonts w:hint="eastAsia" w:ascii="黑体" w:hAnsi="黑体" w:eastAsia="黑体"/>
          <w:sz w:val="32"/>
          <w:szCs w:val="32"/>
          <w:lang w:val="en-US" w:eastAsia="zh-CN"/>
        </w:rPr>
        <w:t>6</w:t>
      </w:r>
      <w:r>
        <w:rPr>
          <w:rFonts w:hint="eastAsia" w:ascii="黑体" w:hAnsi="黑体" w:eastAsia="黑体"/>
          <w:sz w:val="32"/>
          <w:szCs w:val="32"/>
        </w:rPr>
        <w:t>件</w:t>
      </w:r>
      <w:r>
        <w:rPr>
          <w:rFonts w:ascii="黑体" w:hAnsi="黑体" w:eastAsia="黑体"/>
          <w:sz w:val="32"/>
          <w:szCs w:val="32"/>
        </w:rPr>
        <w:t>）</w:t>
      </w:r>
      <w:r>
        <w:rPr>
          <w:rFonts w:hint="eastAsia" w:ascii="黑体" w:hAnsi="黑体" w:eastAsia="黑体"/>
          <w:sz w:val="32"/>
          <w:szCs w:val="32"/>
        </w:rPr>
        <w:t>，</w:t>
      </w:r>
      <w:r>
        <w:rPr>
          <w:rFonts w:ascii="黑体" w:hAnsi="黑体" w:eastAsia="黑体"/>
          <w:sz w:val="32"/>
          <w:szCs w:val="32"/>
        </w:rPr>
        <w:t>均</w:t>
      </w:r>
      <w:r>
        <w:rPr>
          <w:rFonts w:hint="eastAsia" w:ascii="黑体" w:hAnsi="黑体" w:eastAsia="黑体"/>
          <w:sz w:val="32"/>
          <w:szCs w:val="32"/>
        </w:rPr>
        <w:t>评查</w:t>
      </w:r>
      <w:r>
        <w:rPr>
          <w:rFonts w:ascii="黑体" w:hAnsi="黑体" w:eastAsia="黑体"/>
          <w:sz w:val="32"/>
          <w:szCs w:val="32"/>
        </w:rPr>
        <w:t>为合格案件。</w:t>
      </w:r>
    </w:p>
    <w:p>
      <w:pPr>
        <w:ind w:firstLine="643" w:firstLineChars="200"/>
        <w:outlineLvl w:val="1"/>
        <w:rPr>
          <w:rFonts w:ascii="仿宋_GB2312" w:eastAsia="仿宋_GB2312"/>
          <w:b/>
          <w:sz w:val="32"/>
          <w:szCs w:val="32"/>
        </w:rPr>
      </w:pPr>
      <w:r>
        <w:rPr>
          <w:rFonts w:hint="eastAsia" w:ascii="仿宋_GB2312" w:eastAsia="仿宋_GB2312"/>
          <w:b/>
          <w:sz w:val="32"/>
          <w:szCs w:val="32"/>
        </w:rPr>
        <w:t>（九）上网裁判文书质量</w:t>
      </w:r>
      <w:r>
        <w:rPr>
          <w:rFonts w:ascii="仿宋_GB2312" w:eastAsia="仿宋_GB2312"/>
          <w:b/>
          <w:sz w:val="32"/>
          <w:szCs w:val="32"/>
        </w:rPr>
        <w:t>指标</w:t>
      </w:r>
      <w:r>
        <w:rPr>
          <w:rFonts w:hint="eastAsia" w:ascii="仿宋_GB2312" w:eastAsia="仿宋_GB2312"/>
          <w:b/>
          <w:sz w:val="32"/>
          <w:szCs w:val="32"/>
        </w:rPr>
        <w:t>（2分）</w:t>
      </w:r>
    </w:p>
    <w:p>
      <w:pPr>
        <w:ind w:firstLine="640" w:firstLineChars="200"/>
        <w:rPr>
          <w:rFonts w:ascii="仿宋_GB2312" w:eastAsia="仿宋_GB2312"/>
          <w:sz w:val="32"/>
          <w:szCs w:val="32"/>
        </w:rPr>
      </w:pPr>
      <w:r>
        <w:rPr>
          <w:rFonts w:hint="eastAsia" w:ascii="仿宋_GB2312" w:eastAsia="仿宋_GB2312"/>
          <w:sz w:val="32"/>
          <w:szCs w:val="32"/>
        </w:rPr>
        <w:t>用于考核上网裁判文书质量，</w:t>
      </w:r>
      <w:r>
        <w:rPr>
          <w:rFonts w:ascii="仿宋_GB2312" w:eastAsia="仿宋_GB2312"/>
          <w:sz w:val="32"/>
          <w:szCs w:val="32"/>
        </w:rPr>
        <w:t>按</w:t>
      </w:r>
      <w:r>
        <w:rPr>
          <w:rFonts w:hint="eastAsia" w:ascii="仿宋_GB2312" w:eastAsia="仿宋_GB2312"/>
          <w:sz w:val="32"/>
          <w:szCs w:val="32"/>
        </w:rPr>
        <w:t>年度进行考核。</w:t>
      </w:r>
    </w:p>
    <w:p>
      <w:pPr>
        <w:ind w:firstLine="640" w:firstLineChars="200"/>
        <w:rPr>
          <w:rFonts w:ascii="黑体" w:hAnsi="黑体" w:eastAsia="黑体"/>
          <w:sz w:val="32"/>
          <w:szCs w:val="32"/>
        </w:rPr>
      </w:pPr>
      <w:r>
        <w:rPr>
          <w:rFonts w:hint="eastAsia" w:ascii="仿宋_GB2312" w:eastAsia="仿宋_GB2312"/>
          <w:sz w:val="32"/>
          <w:szCs w:val="32"/>
        </w:rPr>
        <w:t>各地</w:t>
      </w:r>
      <w:r>
        <w:rPr>
          <w:rFonts w:ascii="仿宋_GB2312" w:eastAsia="仿宋_GB2312"/>
          <w:sz w:val="32"/>
          <w:szCs w:val="32"/>
        </w:rPr>
        <w:t>（</w:t>
      </w:r>
      <w:r>
        <w:rPr>
          <w:rFonts w:hint="eastAsia" w:ascii="仿宋_GB2312" w:eastAsia="仿宋_GB2312"/>
          <w:sz w:val="32"/>
          <w:szCs w:val="32"/>
        </w:rPr>
        <w:t>辖</w:t>
      </w:r>
      <w:r>
        <w:rPr>
          <w:rFonts w:ascii="仿宋_GB2312" w:eastAsia="仿宋_GB2312"/>
          <w:sz w:val="32"/>
          <w:szCs w:val="32"/>
        </w:rPr>
        <w:t>）</w:t>
      </w:r>
      <w:r>
        <w:rPr>
          <w:rFonts w:hint="eastAsia" w:ascii="仿宋_GB2312" w:eastAsia="仿宋_GB2312"/>
          <w:sz w:val="32"/>
          <w:szCs w:val="32"/>
        </w:rPr>
        <w:t>区</w:t>
      </w:r>
      <w:r>
        <w:rPr>
          <w:rFonts w:ascii="仿宋_GB2312" w:eastAsia="仿宋_GB2312"/>
          <w:sz w:val="32"/>
          <w:szCs w:val="32"/>
        </w:rPr>
        <w:t>法院要切实提升裁判文书质量，杜绝明显低级错误，按实际需求运用文书筛查软件、人工核查等方式严控上网裁判文书质量。经</w:t>
      </w:r>
      <w:r>
        <w:rPr>
          <w:rFonts w:hint="eastAsia" w:ascii="仿宋_GB2312" w:eastAsia="仿宋_GB2312"/>
          <w:sz w:val="32"/>
          <w:szCs w:val="32"/>
        </w:rPr>
        <w:t>核查</w:t>
      </w:r>
      <w:r>
        <w:rPr>
          <w:rFonts w:ascii="仿宋_GB2312" w:eastAsia="仿宋_GB2312"/>
          <w:sz w:val="32"/>
          <w:szCs w:val="32"/>
        </w:rPr>
        <w:t>本年度上网裁判文书出现明显低级错误的，按严重程度及引发舆情等情况</w:t>
      </w:r>
      <w:r>
        <w:rPr>
          <w:rFonts w:hint="eastAsia" w:ascii="仿宋_GB2312" w:eastAsia="仿宋_GB2312"/>
          <w:sz w:val="32"/>
          <w:szCs w:val="32"/>
        </w:rPr>
        <w:t>予以减分</w:t>
      </w:r>
      <w:r>
        <w:rPr>
          <w:rFonts w:ascii="仿宋_GB2312" w:eastAsia="仿宋_GB2312"/>
          <w:sz w:val="32"/>
          <w:szCs w:val="32"/>
        </w:rPr>
        <w:t>，每出现</w:t>
      </w:r>
      <w:r>
        <w:rPr>
          <w:rFonts w:hint="eastAsia" w:ascii="仿宋_GB2312" w:eastAsia="仿宋_GB2312"/>
          <w:sz w:val="32"/>
          <w:szCs w:val="32"/>
        </w:rPr>
        <w:t>1件</w:t>
      </w:r>
      <w:r>
        <w:rPr>
          <w:rFonts w:ascii="仿宋_GB2312" w:eastAsia="仿宋_GB2312"/>
          <w:sz w:val="32"/>
          <w:szCs w:val="32"/>
        </w:rPr>
        <w:t>（起）减</w:t>
      </w:r>
      <w:r>
        <w:rPr>
          <w:rFonts w:hint="eastAsia" w:ascii="仿宋_GB2312" w:eastAsia="仿宋_GB2312"/>
          <w:sz w:val="32"/>
          <w:szCs w:val="32"/>
        </w:rPr>
        <w:t>0.02分</w:t>
      </w:r>
      <w:r>
        <w:rPr>
          <w:rFonts w:ascii="仿宋_GB2312" w:eastAsia="仿宋_GB2312"/>
          <w:sz w:val="32"/>
          <w:szCs w:val="32"/>
        </w:rPr>
        <w:t>至</w:t>
      </w:r>
      <w:r>
        <w:rPr>
          <w:rFonts w:hint="eastAsia" w:ascii="仿宋_GB2312" w:eastAsia="仿宋_GB2312"/>
          <w:sz w:val="32"/>
          <w:szCs w:val="32"/>
        </w:rPr>
        <w:t>2分</w:t>
      </w:r>
      <w:r>
        <w:rPr>
          <w:rFonts w:ascii="仿宋_GB2312" w:eastAsia="仿宋_GB2312"/>
          <w:sz w:val="32"/>
          <w:szCs w:val="32"/>
        </w:rPr>
        <w:t>，减分以</w:t>
      </w:r>
      <w:r>
        <w:rPr>
          <w:rFonts w:hint="eastAsia" w:ascii="仿宋_GB2312" w:eastAsia="仿宋_GB2312"/>
          <w:sz w:val="32"/>
          <w:szCs w:val="32"/>
        </w:rPr>
        <w:t>2分</w:t>
      </w:r>
      <w:r>
        <w:rPr>
          <w:rFonts w:ascii="仿宋_GB2312" w:eastAsia="仿宋_GB2312"/>
          <w:sz w:val="32"/>
          <w:szCs w:val="32"/>
        </w:rPr>
        <w:t>为限。</w:t>
      </w:r>
      <w:r>
        <w:rPr>
          <w:rFonts w:hint="eastAsia" w:ascii="黑体" w:hAnsi="黑体" w:eastAsia="黑体"/>
          <w:sz w:val="32"/>
          <w:szCs w:val="32"/>
        </w:rPr>
        <w:t>该指标</w:t>
      </w:r>
      <w:r>
        <w:rPr>
          <w:rFonts w:ascii="黑体" w:hAnsi="黑体" w:eastAsia="黑体"/>
          <w:sz w:val="32"/>
          <w:szCs w:val="32"/>
        </w:rPr>
        <w:t>今年上级法院还没有要求开始进行。</w:t>
      </w:r>
    </w:p>
    <w:p>
      <w:pPr>
        <w:ind w:firstLine="643" w:firstLineChars="200"/>
        <w:outlineLvl w:val="1"/>
        <w:rPr>
          <w:rFonts w:ascii="仿宋_GB2312" w:eastAsia="仿宋_GB2312"/>
          <w:b/>
          <w:sz w:val="32"/>
          <w:szCs w:val="32"/>
        </w:rPr>
      </w:pPr>
      <w:r>
        <w:rPr>
          <w:rFonts w:hint="eastAsia" w:ascii="仿宋_GB2312" w:eastAsia="仿宋_GB2312"/>
          <w:b/>
          <w:sz w:val="32"/>
          <w:szCs w:val="32"/>
        </w:rPr>
        <w:t>（十）一审案件服判息诉率指标（</w:t>
      </w:r>
      <w:r>
        <w:rPr>
          <w:rFonts w:ascii="仿宋_GB2312" w:eastAsia="仿宋_GB2312"/>
          <w:b/>
          <w:sz w:val="32"/>
          <w:szCs w:val="32"/>
        </w:rPr>
        <w:t>3</w:t>
      </w:r>
      <w:r>
        <w:rPr>
          <w:rFonts w:hint="eastAsia" w:ascii="仿宋_GB2312" w:eastAsia="仿宋_GB2312"/>
          <w:b/>
          <w:sz w:val="32"/>
          <w:szCs w:val="32"/>
        </w:rPr>
        <w:t>分，加分0.5分）</w:t>
      </w:r>
    </w:p>
    <w:p>
      <w:pPr>
        <w:ind w:firstLine="640" w:firstLineChars="200"/>
        <w:rPr>
          <w:rFonts w:ascii="仿宋_GB2312" w:eastAsia="仿宋_GB2312"/>
          <w:sz w:val="32"/>
          <w:szCs w:val="32"/>
        </w:rPr>
      </w:pPr>
      <w:r>
        <w:rPr>
          <w:rFonts w:hint="eastAsia" w:ascii="仿宋_GB2312" w:eastAsia="仿宋_GB2312"/>
          <w:sz w:val="32"/>
          <w:szCs w:val="32"/>
        </w:rPr>
        <w:t>一审服判息诉率</w:t>
      </w:r>
      <w:r>
        <w:rPr>
          <w:rFonts w:ascii="仿宋_GB2312" w:eastAsia="仿宋_GB2312"/>
          <w:sz w:val="32"/>
          <w:szCs w:val="32"/>
        </w:rPr>
        <w:t>=1-（二审收案数</w:t>
      </w:r>
      <w:r>
        <w:rPr>
          <w:rFonts w:hint="eastAsia" w:ascii="仿宋_GB2312" w:eastAsia="仿宋_GB2312"/>
          <w:sz w:val="32"/>
          <w:szCs w:val="32"/>
        </w:rPr>
        <w:t>/一审结案数</w:t>
      </w:r>
      <w:r>
        <w:rPr>
          <w:rFonts w:ascii="仿宋_GB2312" w:eastAsia="仿宋_GB2312"/>
          <w:sz w:val="32"/>
          <w:szCs w:val="32"/>
        </w:rPr>
        <w:t>）。</w:t>
      </w:r>
      <w:r>
        <w:rPr>
          <w:rFonts w:hint="eastAsia" w:ascii="仿宋_GB2312" w:eastAsia="仿宋_GB2312"/>
          <w:sz w:val="32"/>
          <w:szCs w:val="32"/>
        </w:rPr>
        <w:t>用于考核</w:t>
      </w:r>
      <w:r>
        <w:rPr>
          <w:rFonts w:ascii="仿宋_GB2312" w:eastAsia="仿宋_GB2312"/>
          <w:sz w:val="32"/>
          <w:szCs w:val="32"/>
        </w:rPr>
        <w:t>一审案件的审判质效。</w:t>
      </w:r>
    </w:p>
    <w:p>
      <w:pPr>
        <w:ind w:firstLine="640" w:firstLineChars="200"/>
        <w:rPr>
          <w:rFonts w:ascii="仿宋_GB2312" w:eastAsia="仿宋_GB2312"/>
          <w:sz w:val="32"/>
          <w:szCs w:val="32"/>
        </w:rPr>
      </w:pPr>
      <w:r>
        <w:rPr>
          <w:rFonts w:hint="eastAsia" w:ascii="仿宋_GB2312" w:eastAsia="仿宋_GB2312"/>
          <w:sz w:val="32"/>
          <w:szCs w:val="32"/>
        </w:rPr>
        <w:t>上半年、全年对一审案件服判息诉率考核的基础分值各设定为</w:t>
      </w:r>
      <w:r>
        <w:rPr>
          <w:rFonts w:ascii="仿宋_GB2312" w:eastAsia="仿宋_GB2312"/>
          <w:sz w:val="32"/>
          <w:szCs w:val="32"/>
        </w:rPr>
        <w:t>1.5</w:t>
      </w:r>
      <w:r>
        <w:rPr>
          <w:rFonts w:hint="eastAsia" w:ascii="仿宋_GB2312" w:eastAsia="仿宋_GB2312"/>
          <w:sz w:val="32"/>
          <w:szCs w:val="32"/>
        </w:rPr>
        <w:t>分，服判息诉率基础比率设定为</w:t>
      </w:r>
      <w:r>
        <w:rPr>
          <w:rFonts w:ascii="仿宋_GB2312" w:eastAsia="仿宋_GB2312"/>
          <w:sz w:val="32"/>
          <w:szCs w:val="32"/>
        </w:rPr>
        <w:t>88</w:t>
      </w:r>
      <w:r>
        <w:rPr>
          <w:rFonts w:hint="eastAsia" w:ascii="仿宋_GB2312" w:eastAsia="仿宋_GB2312"/>
          <w:sz w:val="32"/>
          <w:szCs w:val="32"/>
        </w:rPr>
        <w:t>%（州法院90%），考核时达到基础比率的得</w:t>
      </w:r>
      <w:r>
        <w:rPr>
          <w:rFonts w:ascii="仿宋_GB2312" w:eastAsia="仿宋_GB2312"/>
          <w:sz w:val="32"/>
          <w:szCs w:val="32"/>
        </w:rPr>
        <w:t>1.5</w:t>
      </w:r>
      <w:r>
        <w:rPr>
          <w:rFonts w:hint="eastAsia" w:ascii="仿宋_GB2312" w:eastAsia="仿宋_GB2312"/>
          <w:sz w:val="32"/>
          <w:szCs w:val="32"/>
        </w:rPr>
        <w:t>分，达不到基础比率的予以减分，每低于基础比率0.1个百分点减0.05分，每个考核节点减分以</w:t>
      </w:r>
      <w:r>
        <w:rPr>
          <w:rFonts w:ascii="仿宋_GB2312" w:eastAsia="仿宋_GB2312"/>
          <w:sz w:val="32"/>
          <w:szCs w:val="32"/>
        </w:rPr>
        <w:t>1.5</w:t>
      </w:r>
      <w:r>
        <w:rPr>
          <w:rFonts w:hint="eastAsia" w:ascii="仿宋_GB2312" w:eastAsia="仿宋_GB2312"/>
          <w:sz w:val="32"/>
          <w:szCs w:val="32"/>
        </w:rPr>
        <w:t>分为限，全年减分以</w:t>
      </w:r>
      <w:r>
        <w:rPr>
          <w:rFonts w:ascii="仿宋_GB2312" w:eastAsia="仿宋_GB2312"/>
          <w:sz w:val="32"/>
          <w:szCs w:val="32"/>
        </w:rPr>
        <w:t>3</w:t>
      </w:r>
      <w:r>
        <w:rPr>
          <w:rFonts w:hint="eastAsia" w:ascii="仿宋_GB2312" w:eastAsia="仿宋_GB2312"/>
          <w:sz w:val="32"/>
          <w:szCs w:val="32"/>
        </w:rPr>
        <w:t>分为限。</w:t>
      </w:r>
    </w:p>
    <w:p>
      <w:pPr>
        <w:ind w:firstLine="640" w:firstLineChars="200"/>
        <w:rPr>
          <w:rFonts w:ascii="仿宋_GB2312" w:eastAsia="仿宋_GB2312"/>
          <w:sz w:val="32"/>
          <w:szCs w:val="32"/>
        </w:rPr>
      </w:pPr>
      <w:r>
        <w:rPr>
          <w:rFonts w:hint="eastAsia" w:ascii="仿宋_GB2312" w:eastAsia="仿宋_GB2312"/>
          <w:sz w:val="32"/>
          <w:szCs w:val="32"/>
        </w:rPr>
        <w:t>上半年、全年对一审案件服判息诉率考核的加分分值各设定为0.25分，考核时高于基础比率的予以加分，每高于基础比率</w:t>
      </w:r>
      <w:r>
        <w:rPr>
          <w:rFonts w:ascii="仿宋_GB2312" w:eastAsia="仿宋_GB2312"/>
          <w:sz w:val="32"/>
          <w:szCs w:val="32"/>
        </w:rPr>
        <w:t>1</w:t>
      </w:r>
      <w:r>
        <w:rPr>
          <w:rFonts w:hint="eastAsia" w:ascii="仿宋_GB2312" w:eastAsia="仿宋_GB2312"/>
          <w:sz w:val="32"/>
          <w:szCs w:val="32"/>
        </w:rPr>
        <w:t>个百分点加0.0</w:t>
      </w:r>
      <w:r>
        <w:rPr>
          <w:rFonts w:ascii="仿宋_GB2312" w:eastAsia="仿宋_GB2312"/>
          <w:sz w:val="32"/>
          <w:szCs w:val="32"/>
        </w:rPr>
        <w:t>5</w:t>
      </w:r>
      <w:r>
        <w:rPr>
          <w:rFonts w:hint="eastAsia" w:ascii="仿宋_GB2312" w:eastAsia="仿宋_GB2312"/>
          <w:sz w:val="32"/>
          <w:szCs w:val="32"/>
        </w:rPr>
        <w:t>分，每个考核节点加分以0.25分为限，全年加分以0.5分为限。</w:t>
      </w:r>
    </w:p>
    <w:p>
      <w:pPr>
        <w:ind w:firstLine="640" w:firstLineChars="200"/>
        <w:rPr>
          <w:rFonts w:ascii="黑体" w:hAnsi="黑体" w:eastAsia="黑体"/>
          <w:sz w:val="32"/>
          <w:szCs w:val="32"/>
        </w:rPr>
      </w:pP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我院一审服判息诉率为</w:t>
      </w:r>
      <w:r>
        <w:rPr>
          <w:rFonts w:ascii="黑体" w:hAnsi="黑体" w:eastAsia="黑体"/>
          <w:sz w:val="32"/>
          <w:szCs w:val="32"/>
        </w:rPr>
        <w:t>8</w:t>
      </w:r>
      <w:r>
        <w:rPr>
          <w:rFonts w:hint="eastAsia" w:ascii="黑体" w:hAnsi="黑体" w:eastAsia="黑体"/>
          <w:sz w:val="32"/>
          <w:szCs w:val="32"/>
        </w:rPr>
        <w:t>8</w:t>
      </w:r>
      <w:r>
        <w:rPr>
          <w:rFonts w:ascii="黑体" w:hAnsi="黑体" w:eastAsia="黑体"/>
          <w:sz w:val="32"/>
          <w:szCs w:val="32"/>
        </w:rPr>
        <w:t>.</w:t>
      </w:r>
      <w:r>
        <w:rPr>
          <w:rFonts w:hint="eastAsia" w:ascii="黑体" w:hAnsi="黑体" w:eastAsia="黑体"/>
          <w:sz w:val="32"/>
          <w:szCs w:val="32"/>
          <w:lang w:val="en-US" w:eastAsia="zh-CN"/>
        </w:rPr>
        <w:t>70</w:t>
      </w:r>
      <w:r>
        <w:rPr>
          <w:rFonts w:hint="eastAsia" w:ascii="黑体" w:hAnsi="黑体" w:eastAsia="黑体"/>
          <w:sz w:val="32"/>
          <w:szCs w:val="32"/>
        </w:rPr>
        <w:t>%，超过省院要求全年服判息诉率达到</w:t>
      </w:r>
      <w:r>
        <w:rPr>
          <w:rFonts w:ascii="黑体" w:hAnsi="黑体" w:eastAsia="黑体"/>
          <w:sz w:val="32"/>
          <w:szCs w:val="32"/>
        </w:rPr>
        <w:t>88</w:t>
      </w:r>
      <w:r>
        <w:rPr>
          <w:rFonts w:hint="eastAsia" w:ascii="黑体" w:hAnsi="黑体" w:eastAsia="黑体"/>
          <w:sz w:val="32"/>
          <w:szCs w:val="32"/>
        </w:rPr>
        <w:t>%规定的</w:t>
      </w:r>
      <w:r>
        <w:rPr>
          <w:rFonts w:ascii="黑体" w:hAnsi="黑体" w:eastAsia="黑体"/>
          <w:sz w:val="32"/>
          <w:szCs w:val="32"/>
        </w:rPr>
        <w:t>+</w:t>
      </w:r>
      <w:r>
        <w:rPr>
          <w:rFonts w:hint="eastAsia" w:ascii="黑体" w:hAnsi="黑体" w:eastAsia="黑体"/>
          <w:sz w:val="32"/>
          <w:szCs w:val="32"/>
        </w:rPr>
        <w:t>0.</w:t>
      </w:r>
      <w:r>
        <w:rPr>
          <w:rFonts w:hint="eastAsia" w:ascii="黑体" w:hAnsi="黑体" w:eastAsia="黑体"/>
          <w:sz w:val="32"/>
          <w:szCs w:val="32"/>
          <w:lang w:val="en-US" w:eastAsia="zh-CN"/>
        </w:rPr>
        <w:t>70</w:t>
      </w:r>
      <w:r>
        <w:rPr>
          <w:rFonts w:ascii="黑体" w:hAnsi="黑体" w:eastAsia="黑体"/>
          <w:sz w:val="32"/>
          <w:szCs w:val="32"/>
        </w:rPr>
        <w:t>%</w:t>
      </w:r>
      <w:r>
        <w:rPr>
          <w:rFonts w:hint="eastAsia" w:ascii="黑体" w:hAnsi="黑体" w:eastAsia="黑体"/>
          <w:sz w:val="32"/>
          <w:szCs w:val="32"/>
        </w:rPr>
        <w:t>，超过不多，应当引起院长重视。</w:t>
      </w:r>
    </w:p>
    <w:p>
      <w:pPr>
        <w:ind w:firstLine="640" w:firstLineChars="200"/>
        <w:rPr>
          <w:rFonts w:ascii="黑体" w:hAnsi="黑体" w:eastAsia="黑体"/>
          <w:sz w:val="32"/>
          <w:szCs w:val="32"/>
        </w:rPr>
      </w:pPr>
      <w:r>
        <w:rPr>
          <w:rFonts w:ascii="黑体" w:hAnsi="黑体" w:eastAsia="黑体"/>
          <w:sz w:val="32"/>
          <w:szCs w:val="32"/>
        </w:rPr>
        <w:object>
          <v:shape id="_x0000_i1029" o:spt="75" type="#_x0000_t75" style="height:168.5pt;width:386pt;" o:ole="t" filled="f" o:preferrelative="t" stroked="f" coordsize="21600,21600">
            <v:path/>
            <v:fill on="f" focussize="0,0"/>
            <v:stroke on="f"/>
            <v:imagedata r:id="rId18" o:title=""/>
            <o:lock v:ext="edit" aspectratio="t"/>
            <w10:wrap type="none"/>
            <w10:anchorlock/>
          </v:shape>
          <o:OLEObject Type="Embed" ProgID="Excel.Sheet.12" ShapeID="_x0000_i1029" DrawAspect="Content" ObjectID="_1468075729" r:id="rId17">
            <o:LockedField>false</o:LockedField>
          </o:OLEObject>
        </w:object>
      </w:r>
    </w:p>
    <w:p>
      <w:pPr>
        <w:ind w:firstLine="640" w:firstLineChars="200"/>
        <w:rPr>
          <w:rFonts w:ascii="黑体" w:hAnsi="黑体" w:eastAsia="黑体"/>
          <w:sz w:val="32"/>
          <w:szCs w:val="32"/>
        </w:rPr>
      </w:pPr>
    </w:p>
    <w:p>
      <w:pPr>
        <w:ind w:firstLine="643" w:firstLineChars="200"/>
        <w:outlineLvl w:val="1"/>
        <w:rPr>
          <w:rFonts w:ascii="仿宋_GB2312" w:eastAsia="仿宋_GB2312"/>
          <w:b/>
          <w:sz w:val="32"/>
          <w:szCs w:val="32"/>
        </w:rPr>
      </w:pPr>
      <w:r>
        <w:rPr>
          <w:rFonts w:hint="eastAsia" w:ascii="仿宋_GB2312" w:eastAsia="仿宋_GB2312"/>
          <w:b/>
          <w:sz w:val="32"/>
          <w:szCs w:val="32"/>
        </w:rPr>
        <w:t>（十一）生效案件申请再审、申诉率指标（</w:t>
      </w:r>
      <w:r>
        <w:rPr>
          <w:rFonts w:ascii="仿宋_GB2312" w:eastAsia="仿宋_GB2312"/>
          <w:b/>
          <w:sz w:val="32"/>
          <w:szCs w:val="32"/>
        </w:rPr>
        <w:t>3</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生效案件申诉率</w:t>
      </w:r>
      <w:r>
        <w:rPr>
          <w:rFonts w:ascii="仿宋_GB2312" w:eastAsia="仿宋_GB2312"/>
          <w:sz w:val="32"/>
          <w:szCs w:val="32"/>
        </w:rPr>
        <w:t>=申请再审、申诉案件</w:t>
      </w:r>
      <w:r>
        <w:rPr>
          <w:rFonts w:hint="eastAsia" w:ascii="仿宋_GB2312" w:eastAsia="仿宋_GB2312"/>
          <w:sz w:val="32"/>
          <w:szCs w:val="32"/>
        </w:rPr>
        <w:t>收案数/（</w:t>
      </w:r>
      <w:r>
        <w:rPr>
          <w:rFonts w:ascii="仿宋_GB2312" w:eastAsia="仿宋_GB2312"/>
          <w:sz w:val="32"/>
          <w:szCs w:val="32"/>
        </w:rPr>
        <w:t>生效案件总数-减刑假释案件数）。</w:t>
      </w:r>
      <w:r>
        <w:rPr>
          <w:rFonts w:hint="eastAsia" w:ascii="仿宋_GB2312" w:eastAsia="仿宋_GB2312"/>
          <w:sz w:val="32"/>
          <w:szCs w:val="32"/>
        </w:rPr>
        <w:t>用于考核</w:t>
      </w:r>
      <w:r>
        <w:rPr>
          <w:rFonts w:ascii="仿宋_GB2312" w:eastAsia="仿宋_GB2312"/>
          <w:sz w:val="32"/>
          <w:szCs w:val="32"/>
        </w:rPr>
        <w:t>生效案件的审判质量。</w:t>
      </w:r>
    </w:p>
    <w:p>
      <w:pPr>
        <w:ind w:firstLine="640" w:firstLineChars="200"/>
        <w:rPr>
          <w:rFonts w:ascii="仿宋_GB2312" w:eastAsia="仿宋_GB2312"/>
          <w:sz w:val="32"/>
          <w:szCs w:val="32"/>
        </w:rPr>
      </w:pPr>
      <w:r>
        <w:rPr>
          <w:rFonts w:hint="eastAsia" w:ascii="仿宋_GB2312" w:eastAsia="仿宋_GB2312"/>
          <w:sz w:val="32"/>
          <w:szCs w:val="32"/>
        </w:rPr>
        <w:t>上半年、全年对</w:t>
      </w:r>
      <w:r>
        <w:rPr>
          <w:rFonts w:ascii="仿宋_GB2312" w:eastAsia="仿宋_GB2312"/>
          <w:sz w:val="32"/>
          <w:szCs w:val="32"/>
        </w:rPr>
        <w:t>生效案件</w:t>
      </w:r>
      <w:r>
        <w:rPr>
          <w:rFonts w:hint="eastAsia" w:ascii="仿宋_GB2312" w:eastAsia="仿宋_GB2312"/>
          <w:sz w:val="32"/>
          <w:szCs w:val="32"/>
        </w:rPr>
        <w:t>申请再审、申诉率考核的基础分值为各设定为</w:t>
      </w:r>
      <w:r>
        <w:rPr>
          <w:rFonts w:ascii="仿宋_GB2312" w:eastAsia="仿宋_GB2312"/>
          <w:sz w:val="32"/>
          <w:szCs w:val="32"/>
        </w:rPr>
        <w:t>1.5</w:t>
      </w:r>
      <w:r>
        <w:rPr>
          <w:rFonts w:hint="eastAsia" w:ascii="仿宋_GB2312" w:eastAsia="仿宋_GB2312"/>
          <w:sz w:val="32"/>
          <w:szCs w:val="32"/>
        </w:rPr>
        <w:t>分，申请再审、申诉率基础比率均设定为</w:t>
      </w:r>
      <w:r>
        <w:rPr>
          <w:rFonts w:ascii="仿宋_GB2312" w:eastAsia="仿宋_GB2312"/>
          <w:sz w:val="32"/>
          <w:szCs w:val="32"/>
        </w:rPr>
        <w:t>4</w:t>
      </w:r>
      <w:r>
        <w:rPr>
          <w:rFonts w:hint="eastAsia" w:ascii="仿宋_GB2312" w:eastAsia="仿宋_GB2312"/>
          <w:sz w:val="32"/>
          <w:szCs w:val="32"/>
        </w:rPr>
        <w:t>%（州法院3%），考核时不高于基础比率的得</w:t>
      </w:r>
      <w:r>
        <w:rPr>
          <w:rFonts w:ascii="仿宋_GB2312" w:eastAsia="仿宋_GB2312"/>
          <w:sz w:val="32"/>
          <w:szCs w:val="32"/>
        </w:rPr>
        <w:t>1.5</w:t>
      </w:r>
      <w:r>
        <w:rPr>
          <w:rFonts w:hint="eastAsia" w:ascii="仿宋_GB2312" w:eastAsia="仿宋_GB2312"/>
          <w:sz w:val="32"/>
          <w:szCs w:val="32"/>
        </w:rPr>
        <w:t>分，高于基础比率的予以减分，每高于基础比率0.1个百分点减0.05分，每个考核节点减分以</w:t>
      </w:r>
      <w:r>
        <w:rPr>
          <w:rFonts w:ascii="仿宋_GB2312" w:eastAsia="仿宋_GB2312"/>
          <w:sz w:val="32"/>
          <w:szCs w:val="32"/>
        </w:rPr>
        <w:t>1.5</w:t>
      </w:r>
      <w:r>
        <w:rPr>
          <w:rFonts w:hint="eastAsia" w:ascii="仿宋_GB2312" w:eastAsia="仿宋_GB2312"/>
          <w:sz w:val="32"/>
          <w:szCs w:val="32"/>
        </w:rPr>
        <w:t>分为限，全年减分以</w:t>
      </w:r>
      <w:r>
        <w:rPr>
          <w:rFonts w:ascii="仿宋_GB2312" w:eastAsia="仿宋_GB2312"/>
          <w:sz w:val="32"/>
          <w:szCs w:val="32"/>
        </w:rPr>
        <w:t>3</w:t>
      </w:r>
      <w:r>
        <w:rPr>
          <w:rFonts w:hint="eastAsia" w:ascii="仿宋_GB2312" w:eastAsia="仿宋_GB2312"/>
          <w:sz w:val="32"/>
          <w:szCs w:val="32"/>
        </w:rPr>
        <w:t>分为限。</w:t>
      </w:r>
    </w:p>
    <w:p>
      <w:pPr>
        <w:ind w:firstLine="640" w:firstLineChars="200"/>
        <w:rPr>
          <w:rFonts w:ascii="黑体" w:hAnsi="黑体" w:eastAsia="黑体"/>
          <w:sz w:val="32"/>
          <w:szCs w:val="32"/>
        </w:rPr>
      </w:pP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我院申请再审、申诉案件立案4件，申请再审、申诉率为0.72%，低于省院要求的该指标不超过</w:t>
      </w:r>
      <w:r>
        <w:rPr>
          <w:rFonts w:ascii="黑体" w:hAnsi="黑体" w:eastAsia="黑体"/>
          <w:sz w:val="32"/>
          <w:szCs w:val="32"/>
        </w:rPr>
        <w:t>4</w:t>
      </w:r>
      <w:r>
        <w:rPr>
          <w:rFonts w:hint="eastAsia" w:ascii="黑体" w:hAnsi="黑体" w:eastAsia="黑体"/>
          <w:sz w:val="32"/>
          <w:szCs w:val="32"/>
        </w:rPr>
        <w:t>%的规定，应当继续保持。</w:t>
      </w:r>
    </w:p>
    <w:p>
      <w:pPr>
        <w:ind w:firstLine="643" w:firstLineChars="200"/>
        <w:outlineLvl w:val="1"/>
        <w:rPr>
          <w:rFonts w:ascii="仿宋_GB2312" w:eastAsia="仿宋_GB2312"/>
          <w:b/>
          <w:sz w:val="32"/>
          <w:szCs w:val="32"/>
        </w:rPr>
      </w:pPr>
      <w:r>
        <w:rPr>
          <w:rFonts w:hint="eastAsia" w:ascii="仿宋_GB2312" w:eastAsia="仿宋_GB2312"/>
          <w:b/>
          <w:sz w:val="32"/>
          <w:szCs w:val="32"/>
        </w:rPr>
        <w:t>（十二）院领导审结案件数指标（</w:t>
      </w:r>
      <w:r>
        <w:rPr>
          <w:rFonts w:ascii="仿宋_GB2312" w:eastAsia="仿宋_GB2312"/>
          <w:b/>
          <w:sz w:val="32"/>
          <w:szCs w:val="32"/>
        </w:rPr>
        <w:t>1</w:t>
      </w:r>
      <w:r>
        <w:rPr>
          <w:rFonts w:hint="eastAsia" w:ascii="仿宋_GB2312" w:eastAsia="仿宋_GB2312"/>
          <w:b/>
          <w:sz w:val="32"/>
          <w:szCs w:val="32"/>
        </w:rPr>
        <w:t>分）</w:t>
      </w:r>
    </w:p>
    <w:p>
      <w:pPr>
        <w:ind w:firstLine="640" w:firstLineChars="200"/>
        <w:rPr>
          <w:rFonts w:ascii="仿宋_GB2312" w:eastAsia="仿宋_GB2312"/>
          <w:b/>
          <w:sz w:val="32"/>
          <w:szCs w:val="32"/>
        </w:rPr>
      </w:pPr>
      <w:r>
        <w:rPr>
          <w:rFonts w:hint="eastAsia" w:ascii="仿宋_GB2312" w:eastAsia="仿宋_GB2312"/>
          <w:sz w:val="32"/>
          <w:szCs w:val="32"/>
        </w:rPr>
        <w:t>用于考核院领导整体办案情况，按年度考核。</w:t>
      </w:r>
    </w:p>
    <w:p>
      <w:pPr>
        <w:ind w:firstLine="640" w:firstLineChars="200"/>
        <w:rPr>
          <w:rFonts w:ascii="黑体" w:hAnsi="黑体" w:eastAsia="黑体"/>
          <w:sz w:val="32"/>
          <w:szCs w:val="32"/>
        </w:rPr>
      </w:pPr>
      <w:r>
        <w:rPr>
          <w:rFonts w:hint="eastAsia" w:ascii="仿宋_GB2312" w:eastAsia="仿宋_GB2312"/>
          <w:sz w:val="32"/>
          <w:szCs w:val="32"/>
        </w:rPr>
        <w:t>基层院院长审结案件数量指标应当不少于本院法官平均审结数量的5%；基层</w:t>
      </w:r>
      <w:r>
        <w:rPr>
          <w:rFonts w:ascii="仿宋_GB2312" w:eastAsia="仿宋_GB2312"/>
          <w:sz w:val="32"/>
          <w:szCs w:val="32"/>
        </w:rPr>
        <w:t>院</w:t>
      </w:r>
      <w:r>
        <w:rPr>
          <w:rFonts w:hint="eastAsia" w:ascii="仿宋_GB2312" w:eastAsia="仿宋_GB2312"/>
          <w:sz w:val="32"/>
          <w:szCs w:val="32"/>
        </w:rPr>
        <w:t>其他领导平均审结案件数量指标应当不少于本院法官平均审结数量的30%。此项</w:t>
      </w:r>
      <w:r>
        <w:rPr>
          <w:rFonts w:ascii="仿宋_GB2312" w:eastAsia="仿宋_GB2312"/>
          <w:sz w:val="32"/>
          <w:szCs w:val="32"/>
        </w:rPr>
        <w:t>指标基础分值设定为</w:t>
      </w:r>
      <w:r>
        <w:rPr>
          <w:rFonts w:hint="eastAsia" w:ascii="仿宋_GB2312" w:eastAsia="仿宋_GB2312"/>
          <w:sz w:val="32"/>
          <w:szCs w:val="32"/>
        </w:rPr>
        <w:t>1分</w:t>
      </w:r>
      <w:r>
        <w:rPr>
          <w:rFonts w:ascii="仿宋_GB2312" w:eastAsia="仿宋_GB2312"/>
          <w:sz w:val="32"/>
          <w:szCs w:val="32"/>
        </w:rPr>
        <w:t>，</w:t>
      </w:r>
      <w:r>
        <w:rPr>
          <w:rFonts w:hint="eastAsia" w:ascii="仿宋_GB2312" w:eastAsia="仿宋_GB2312"/>
          <w:sz w:val="32"/>
          <w:szCs w:val="32"/>
        </w:rPr>
        <w:t>考核时院领导</w:t>
      </w:r>
      <w:r>
        <w:rPr>
          <w:rFonts w:ascii="仿宋_GB2312" w:eastAsia="仿宋_GB2312"/>
          <w:sz w:val="32"/>
          <w:szCs w:val="32"/>
        </w:rPr>
        <w:t>审结案件数</w:t>
      </w:r>
      <w:r>
        <w:rPr>
          <w:rFonts w:hint="eastAsia" w:ascii="仿宋_GB2312" w:eastAsia="仿宋_GB2312"/>
          <w:sz w:val="32"/>
          <w:szCs w:val="32"/>
        </w:rPr>
        <w:t>达标的得1分，未达标予以减分，每低于</w:t>
      </w:r>
      <w:r>
        <w:rPr>
          <w:rFonts w:ascii="仿宋_GB2312" w:eastAsia="仿宋_GB2312"/>
          <w:sz w:val="32"/>
          <w:szCs w:val="32"/>
        </w:rPr>
        <w:t>应审结案件数</w:t>
      </w:r>
      <w:r>
        <w:rPr>
          <w:rFonts w:hint="eastAsia" w:ascii="仿宋_GB2312" w:eastAsia="仿宋_GB2312"/>
          <w:sz w:val="32"/>
          <w:szCs w:val="32"/>
        </w:rPr>
        <w:t>1件</w:t>
      </w:r>
      <w:r>
        <w:rPr>
          <w:rFonts w:ascii="仿宋_GB2312" w:eastAsia="仿宋_GB2312"/>
          <w:sz w:val="32"/>
          <w:szCs w:val="32"/>
        </w:rPr>
        <w:t>减</w:t>
      </w:r>
      <w:r>
        <w:rPr>
          <w:rFonts w:hint="eastAsia" w:ascii="仿宋_GB2312" w:eastAsia="仿宋_GB2312"/>
          <w:sz w:val="32"/>
          <w:szCs w:val="32"/>
        </w:rPr>
        <w:t>0.01分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w:t>
      </w:r>
      <w:r>
        <w:rPr>
          <w:rFonts w:hint="eastAsia" w:ascii="仿宋_GB2312" w:eastAsia="仿宋_GB2312"/>
          <w:sz w:val="32"/>
          <w:szCs w:val="32"/>
        </w:rPr>
        <w:t>。</w:t>
      </w:r>
      <w:r>
        <w:rPr>
          <w:rFonts w:hint="eastAsia" w:ascii="黑体" w:hAnsi="黑体" w:eastAsia="黑体"/>
          <w:color w:val="FF0000"/>
          <w:sz w:val="32"/>
          <w:szCs w:val="32"/>
        </w:rPr>
        <w:t>该项以我院月报统计及中院评定为准</w:t>
      </w:r>
      <w:r>
        <w:rPr>
          <w:rFonts w:hint="eastAsia" w:ascii="黑体" w:hAnsi="黑体" w:eastAsia="黑体"/>
          <w:sz w:val="32"/>
          <w:szCs w:val="32"/>
        </w:rPr>
        <w:t>。</w:t>
      </w:r>
    </w:p>
    <w:p>
      <w:pPr>
        <w:ind w:firstLine="560" w:firstLineChars="200"/>
        <w:jc w:val="center"/>
        <w:rPr>
          <w:rFonts w:hint="eastAsia" w:ascii="黑体" w:hAnsi="黑体" w:eastAsia="黑体"/>
          <w:sz w:val="28"/>
          <w:szCs w:val="28"/>
        </w:rPr>
      </w:pPr>
    </w:p>
    <w:p>
      <w:pPr>
        <w:ind w:firstLine="560" w:firstLineChars="200"/>
        <w:jc w:val="center"/>
        <w:rPr>
          <w:rFonts w:ascii="黑体" w:hAnsi="黑体" w:eastAsia="黑体"/>
          <w:sz w:val="28"/>
          <w:szCs w:val="28"/>
        </w:rPr>
      </w:pPr>
      <w:r>
        <w:rPr>
          <w:rFonts w:hint="eastAsia" w:ascii="黑体" w:hAnsi="黑体" w:eastAsia="黑体"/>
          <w:sz w:val="28"/>
          <w:szCs w:val="28"/>
        </w:rPr>
        <w:t>院领导办案情况图例</w:t>
      </w:r>
    </w:p>
    <w:p>
      <w:pPr>
        <w:jc w:val="center"/>
        <w:rPr>
          <w:rFonts w:ascii="仿宋_GB2312" w:eastAsia="仿宋_GB2312"/>
          <w:b/>
          <w:sz w:val="32"/>
          <w:szCs w:val="32"/>
        </w:rPr>
      </w:pPr>
      <w:r>
        <w:rPr>
          <w:rFonts w:ascii="黑体" w:hAnsi="黑体" w:eastAsia="黑体"/>
          <w:sz w:val="28"/>
          <w:szCs w:val="28"/>
        </w:rPr>
        <w:object>
          <v:shape id="_x0000_i1030" o:spt="75" type="#_x0000_t75" style="height:312pt;width:424.5pt;" o:ole="t" filled="f" o:preferrelative="t" stroked="f" coordsize="21600,21600">
            <v:path/>
            <v:fill on="f" focussize="0,0"/>
            <v:stroke on="f"/>
            <v:imagedata r:id="rId20" o:title=""/>
            <o:lock v:ext="edit" aspectratio="t"/>
            <w10:wrap type="none"/>
            <w10:anchorlock/>
          </v:shape>
          <o:OLEObject Type="Embed" ProgID="Excel.Sheet.8" ShapeID="_x0000_i1030" DrawAspect="Content" ObjectID="_1468075730" r:id="rId19">
            <o:LockedField>false</o:LockedField>
          </o:OLEObject>
        </w:object>
      </w:r>
      <w:r>
        <w:rPr>
          <w:rFonts w:hint="eastAsia" w:ascii="仿宋_GB2312" w:eastAsia="仿宋_GB2312"/>
          <w:b/>
          <w:sz w:val="32"/>
          <w:szCs w:val="32"/>
        </w:rPr>
        <w:t>（十三）一审案件简易程序适用率指标（</w:t>
      </w:r>
      <w:r>
        <w:rPr>
          <w:rFonts w:ascii="仿宋_GB2312" w:eastAsia="仿宋_GB2312"/>
          <w:b/>
          <w:sz w:val="32"/>
          <w:szCs w:val="32"/>
        </w:rPr>
        <w:t>2</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一审案件简易程序适用率=</w:t>
      </w:r>
      <w:r>
        <w:rPr>
          <w:rFonts w:ascii="仿宋_GB2312" w:eastAsia="仿宋_GB2312"/>
          <w:sz w:val="32"/>
          <w:szCs w:val="32"/>
        </w:rPr>
        <w:t>一审简易程序结案数</w:t>
      </w:r>
      <w:r>
        <w:rPr>
          <w:rFonts w:hint="eastAsia" w:ascii="仿宋_GB2312" w:eastAsia="仿宋_GB2312"/>
          <w:sz w:val="32"/>
          <w:szCs w:val="32"/>
        </w:rPr>
        <w:t>/基层院</w:t>
      </w:r>
      <w:r>
        <w:rPr>
          <w:rFonts w:ascii="仿宋_GB2312" w:eastAsia="仿宋_GB2312"/>
          <w:sz w:val="32"/>
          <w:szCs w:val="32"/>
        </w:rPr>
        <w:t>一审结案数。</w:t>
      </w:r>
      <w:r>
        <w:rPr>
          <w:rFonts w:hint="eastAsia" w:ascii="仿宋_GB2312" w:eastAsia="仿宋_GB2312"/>
          <w:sz w:val="32"/>
          <w:szCs w:val="32"/>
        </w:rPr>
        <w:t>用于考核</w:t>
      </w:r>
      <w:r>
        <w:rPr>
          <w:rFonts w:ascii="仿宋_GB2312" w:eastAsia="仿宋_GB2312"/>
          <w:sz w:val="32"/>
          <w:szCs w:val="32"/>
        </w:rPr>
        <w:t>基层法院</w:t>
      </w:r>
      <w:r>
        <w:rPr>
          <w:rFonts w:hint="eastAsia" w:ascii="仿宋_GB2312" w:eastAsia="仿宋_GB2312"/>
          <w:sz w:val="32"/>
          <w:szCs w:val="32"/>
        </w:rPr>
        <w:t>的简易程序适用</w:t>
      </w:r>
      <w:r>
        <w:rPr>
          <w:rFonts w:ascii="仿宋_GB2312" w:eastAsia="仿宋_GB2312"/>
          <w:sz w:val="32"/>
          <w:szCs w:val="32"/>
        </w:rPr>
        <w:t>情况</w:t>
      </w:r>
      <w:r>
        <w:rPr>
          <w:rFonts w:hint="eastAsia" w:ascii="仿宋_GB2312" w:eastAsia="仿宋_GB2312"/>
          <w:sz w:val="32"/>
          <w:szCs w:val="32"/>
        </w:rPr>
        <w:t>，</w:t>
      </w:r>
      <w:r>
        <w:rPr>
          <w:rFonts w:ascii="仿宋_GB2312" w:eastAsia="仿宋_GB2312"/>
          <w:sz w:val="32"/>
          <w:szCs w:val="32"/>
        </w:rPr>
        <w:t>按年度进行考核。</w:t>
      </w:r>
    </w:p>
    <w:p>
      <w:pPr>
        <w:ind w:firstLine="640" w:firstLineChars="200"/>
        <w:rPr>
          <w:rFonts w:ascii="黑体" w:hAnsi="黑体" w:eastAsia="黑体"/>
          <w:sz w:val="32"/>
          <w:szCs w:val="32"/>
        </w:rPr>
      </w:pPr>
      <w:r>
        <w:rPr>
          <w:rFonts w:hint="eastAsia" w:ascii="仿宋_GB2312" w:eastAsia="仿宋_GB2312"/>
          <w:sz w:val="32"/>
          <w:szCs w:val="32"/>
        </w:rPr>
        <w:t>年度一审简易程序适用率考核的基础分值设定为</w:t>
      </w:r>
      <w:r>
        <w:rPr>
          <w:rFonts w:ascii="仿宋_GB2312" w:eastAsia="仿宋_GB2312"/>
          <w:sz w:val="32"/>
          <w:szCs w:val="32"/>
        </w:rPr>
        <w:t>2</w:t>
      </w:r>
      <w:r>
        <w:rPr>
          <w:rFonts w:hint="eastAsia" w:ascii="仿宋_GB2312" w:eastAsia="仿宋_GB2312"/>
          <w:sz w:val="32"/>
          <w:szCs w:val="32"/>
        </w:rPr>
        <w:t>分，基础适用率设定为</w:t>
      </w:r>
      <w:r>
        <w:rPr>
          <w:rFonts w:ascii="仿宋_GB2312" w:eastAsia="仿宋_GB2312"/>
          <w:sz w:val="32"/>
          <w:szCs w:val="32"/>
        </w:rPr>
        <w:t>75</w:t>
      </w:r>
      <w:r>
        <w:rPr>
          <w:rFonts w:hint="eastAsia" w:ascii="仿宋_GB2312" w:eastAsia="仿宋_GB2312"/>
          <w:sz w:val="32"/>
          <w:szCs w:val="32"/>
        </w:rPr>
        <w:t>%（州法院77%），考核时</w:t>
      </w:r>
      <w:r>
        <w:rPr>
          <w:rFonts w:ascii="仿宋_GB2312" w:eastAsia="仿宋_GB2312"/>
          <w:sz w:val="32"/>
          <w:szCs w:val="32"/>
        </w:rPr>
        <w:t>达到基础适用率的得</w:t>
      </w:r>
      <w:r>
        <w:rPr>
          <w:rFonts w:hint="eastAsia" w:ascii="仿宋_GB2312" w:eastAsia="仿宋_GB2312"/>
          <w:sz w:val="32"/>
          <w:szCs w:val="32"/>
        </w:rPr>
        <w:t>2分</w:t>
      </w:r>
      <w:r>
        <w:rPr>
          <w:rFonts w:ascii="仿宋_GB2312" w:eastAsia="仿宋_GB2312"/>
          <w:sz w:val="32"/>
          <w:szCs w:val="32"/>
        </w:rPr>
        <w:t>，达</w:t>
      </w:r>
      <w:r>
        <w:rPr>
          <w:rFonts w:hint="eastAsia" w:ascii="仿宋_GB2312" w:eastAsia="仿宋_GB2312"/>
          <w:sz w:val="32"/>
          <w:szCs w:val="32"/>
        </w:rPr>
        <w:t>不</w:t>
      </w:r>
      <w:r>
        <w:rPr>
          <w:rFonts w:ascii="仿宋_GB2312" w:eastAsia="仿宋_GB2312"/>
          <w:sz w:val="32"/>
          <w:szCs w:val="32"/>
        </w:rPr>
        <w:t>到基础适用率的</w:t>
      </w:r>
      <w:r>
        <w:rPr>
          <w:rFonts w:hint="eastAsia" w:ascii="仿宋_GB2312" w:eastAsia="仿宋_GB2312"/>
          <w:sz w:val="32"/>
          <w:szCs w:val="32"/>
        </w:rPr>
        <w:t>予以减分</w:t>
      </w:r>
      <w:r>
        <w:rPr>
          <w:rFonts w:ascii="仿宋_GB2312" w:eastAsia="仿宋_GB2312"/>
          <w:sz w:val="32"/>
          <w:szCs w:val="32"/>
        </w:rPr>
        <w:t>，</w:t>
      </w:r>
      <w:r>
        <w:rPr>
          <w:rFonts w:hint="eastAsia" w:ascii="仿宋_GB2312" w:eastAsia="仿宋_GB2312"/>
          <w:sz w:val="32"/>
          <w:szCs w:val="32"/>
        </w:rPr>
        <w:t>每低于基础适用率0.1个百分点减0.01分，</w:t>
      </w:r>
      <w:r>
        <w:rPr>
          <w:rFonts w:ascii="仿宋_GB2312" w:eastAsia="仿宋_GB2312"/>
          <w:sz w:val="32"/>
          <w:szCs w:val="32"/>
        </w:rPr>
        <w:t>减分以</w:t>
      </w:r>
      <w:r>
        <w:rPr>
          <w:rFonts w:hint="eastAsia" w:ascii="仿宋_GB2312" w:eastAsia="仿宋_GB2312"/>
          <w:sz w:val="32"/>
          <w:szCs w:val="32"/>
        </w:rPr>
        <w:t>2分</w:t>
      </w:r>
      <w:r>
        <w:rPr>
          <w:rFonts w:ascii="仿宋_GB2312" w:eastAsia="仿宋_GB2312"/>
          <w:sz w:val="32"/>
          <w:szCs w:val="32"/>
        </w:rPr>
        <w:t>为限</w:t>
      </w:r>
      <w:r>
        <w:rPr>
          <w:rFonts w:hint="eastAsia" w:ascii="仿宋_GB2312" w:eastAsia="仿宋_GB2312"/>
          <w:sz w:val="32"/>
          <w:szCs w:val="32"/>
        </w:rPr>
        <w:t>。</w:t>
      </w: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我院一审简易程序适用率为</w:t>
      </w:r>
      <w:r>
        <w:rPr>
          <w:rFonts w:ascii="黑体" w:hAnsi="黑体" w:eastAsia="黑体"/>
          <w:sz w:val="32"/>
          <w:szCs w:val="32"/>
        </w:rPr>
        <w:t>7</w:t>
      </w:r>
      <w:r>
        <w:rPr>
          <w:rFonts w:hint="eastAsia" w:ascii="黑体" w:hAnsi="黑体" w:eastAsia="黑体"/>
          <w:sz w:val="32"/>
          <w:szCs w:val="32"/>
          <w:lang w:val="en-US" w:eastAsia="zh-CN"/>
        </w:rPr>
        <w:t>6.63</w:t>
      </w:r>
      <w:r>
        <w:rPr>
          <w:rFonts w:hint="eastAsia" w:ascii="黑体" w:hAnsi="黑体" w:eastAsia="黑体"/>
          <w:sz w:val="32"/>
          <w:szCs w:val="32"/>
        </w:rPr>
        <w:t>%，超过</w:t>
      </w:r>
      <w:r>
        <w:rPr>
          <w:rFonts w:ascii="黑体" w:hAnsi="黑体" w:eastAsia="黑体"/>
          <w:sz w:val="32"/>
          <w:szCs w:val="32"/>
        </w:rPr>
        <w:t>省院</w:t>
      </w:r>
      <w:r>
        <w:rPr>
          <w:rFonts w:hint="eastAsia" w:ascii="黑体" w:hAnsi="黑体" w:eastAsia="黑体"/>
          <w:sz w:val="32"/>
          <w:szCs w:val="32"/>
        </w:rPr>
        <w:t>要求的该指标</w:t>
      </w:r>
      <w:r>
        <w:rPr>
          <w:rFonts w:ascii="黑体" w:hAnsi="黑体" w:eastAsia="黑体"/>
          <w:sz w:val="32"/>
          <w:szCs w:val="32"/>
        </w:rPr>
        <w:t>年度</w:t>
      </w:r>
      <w:r>
        <w:rPr>
          <w:rFonts w:hint="eastAsia" w:ascii="黑体" w:hAnsi="黑体" w:eastAsia="黑体"/>
          <w:sz w:val="32"/>
          <w:szCs w:val="32"/>
        </w:rPr>
        <w:t>达到75</w:t>
      </w:r>
      <w:r>
        <w:rPr>
          <w:rFonts w:ascii="黑体" w:hAnsi="黑体" w:eastAsia="黑体"/>
          <w:sz w:val="32"/>
          <w:szCs w:val="32"/>
        </w:rPr>
        <w:t>%</w:t>
      </w:r>
      <w:r>
        <w:rPr>
          <w:rFonts w:hint="eastAsia" w:ascii="黑体" w:hAnsi="黑体" w:eastAsia="黑体"/>
          <w:sz w:val="32"/>
          <w:szCs w:val="32"/>
        </w:rPr>
        <w:t>的规定的</w:t>
      </w:r>
      <w:r>
        <w:rPr>
          <w:rFonts w:ascii="黑体" w:hAnsi="黑体" w:eastAsia="黑体"/>
          <w:sz w:val="32"/>
          <w:szCs w:val="32"/>
        </w:rPr>
        <w:t>+</w:t>
      </w:r>
      <w:r>
        <w:rPr>
          <w:rFonts w:hint="eastAsia" w:ascii="黑体" w:hAnsi="黑体" w:eastAsia="黑体"/>
          <w:sz w:val="32"/>
          <w:szCs w:val="32"/>
          <w:lang w:val="en-US" w:eastAsia="zh-CN"/>
        </w:rPr>
        <w:t>1.63</w:t>
      </w:r>
      <w:r>
        <w:rPr>
          <w:rFonts w:ascii="黑体" w:hAnsi="黑体" w:eastAsia="黑体"/>
          <w:sz w:val="32"/>
          <w:szCs w:val="32"/>
        </w:rPr>
        <w:t>%</w:t>
      </w:r>
      <w:r>
        <w:rPr>
          <w:rFonts w:hint="eastAsia" w:ascii="黑体" w:hAnsi="黑体" w:eastAsia="黑体"/>
          <w:sz w:val="32"/>
          <w:szCs w:val="32"/>
        </w:rPr>
        <w:t>，</w:t>
      </w:r>
      <w:r>
        <w:rPr>
          <w:rFonts w:ascii="黑体" w:hAnsi="黑体" w:eastAsia="黑体"/>
          <w:sz w:val="32"/>
          <w:szCs w:val="32"/>
        </w:rPr>
        <w:t>应当继续保持。</w:t>
      </w:r>
    </w:p>
    <w:p>
      <w:pPr>
        <w:ind w:firstLine="640" w:firstLineChars="200"/>
        <w:rPr>
          <w:rFonts w:ascii="黑体" w:hAnsi="黑体" w:eastAsia="黑体"/>
          <w:sz w:val="32"/>
          <w:szCs w:val="32"/>
        </w:rPr>
      </w:pPr>
      <w:bookmarkStart w:id="0" w:name="_MON_1629183140"/>
      <w:bookmarkEnd w:id="0"/>
      <w:r>
        <w:rPr>
          <w:rFonts w:ascii="黑体" w:hAnsi="黑体" w:eastAsia="黑体"/>
          <w:sz w:val="32"/>
          <w:szCs w:val="32"/>
        </w:rPr>
        <w:object>
          <v:shape id="_x0000_i1031" o:spt="75" type="#_x0000_t75" style="height:177pt;width:378.1pt;" o:ole="t" filled="f" o:preferrelative="t" stroked="f" coordsize="21600,21600">
            <v:path/>
            <v:fill on="f" focussize="0,0"/>
            <v:stroke on="f"/>
            <v:imagedata r:id="rId22" o:title=""/>
            <o:lock v:ext="edit" aspectratio="t"/>
            <w10:wrap type="none"/>
            <w10:anchorlock/>
          </v:shape>
          <o:OLEObject Type="Embed" ProgID="Excel.Sheet.12" ShapeID="_x0000_i1031" DrawAspect="Content" ObjectID="_1468075731" r:id="rId21">
            <o:LockedField>false</o:LockedField>
          </o:OLEObject>
        </w:object>
      </w:r>
    </w:p>
    <w:p>
      <w:pPr>
        <w:ind w:firstLine="643" w:firstLineChars="200"/>
        <w:outlineLvl w:val="1"/>
        <w:rPr>
          <w:rFonts w:ascii="仿宋_GB2312" w:eastAsia="仿宋_GB2312"/>
          <w:b/>
          <w:sz w:val="32"/>
          <w:szCs w:val="32"/>
        </w:rPr>
      </w:pPr>
      <w:r>
        <w:rPr>
          <w:rFonts w:hint="eastAsia" w:ascii="仿宋_GB2312" w:eastAsia="仿宋_GB2312"/>
          <w:b/>
          <w:sz w:val="32"/>
          <w:szCs w:val="32"/>
        </w:rPr>
        <w:t>（十四）裁判文书上网情况指标（</w:t>
      </w:r>
      <w:r>
        <w:rPr>
          <w:rFonts w:ascii="仿宋_GB2312" w:eastAsia="仿宋_GB2312"/>
          <w:b/>
          <w:sz w:val="32"/>
          <w:szCs w:val="32"/>
        </w:rPr>
        <w:t>1</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用于考核裁判文书上网“双百”核查情况和裁判文书上网率。裁判文书</w:t>
      </w:r>
      <w:r>
        <w:rPr>
          <w:rFonts w:ascii="仿宋_GB2312" w:eastAsia="仿宋_GB2312"/>
          <w:sz w:val="32"/>
          <w:szCs w:val="32"/>
        </w:rPr>
        <w:t xml:space="preserve">上网“双百”即符合公开条件的裁判文书在中国裁判文书网上“100%公开”， </w:t>
      </w:r>
      <w:r>
        <w:rPr>
          <w:rFonts w:hint="eastAsia" w:ascii="仿宋_GB2312" w:eastAsia="仿宋_GB2312"/>
          <w:sz w:val="32"/>
          <w:szCs w:val="32"/>
        </w:rPr>
        <w:t>不</w:t>
      </w:r>
      <w:r>
        <w:rPr>
          <w:rFonts w:ascii="仿宋_GB2312" w:eastAsia="仿宋_GB2312"/>
          <w:sz w:val="32"/>
          <w:szCs w:val="32"/>
        </w:rPr>
        <w:t>符合公开条件的裁判文书在</w:t>
      </w:r>
      <w:r>
        <w:rPr>
          <w:rFonts w:hint="eastAsia" w:ascii="仿宋_GB2312" w:eastAsia="仿宋_GB2312"/>
          <w:sz w:val="32"/>
          <w:szCs w:val="32"/>
        </w:rPr>
        <w:t>吉林司法</w:t>
      </w:r>
      <w:r>
        <w:rPr>
          <w:rFonts w:ascii="仿宋_GB2312" w:eastAsia="仿宋_GB2312"/>
          <w:sz w:val="32"/>
          <w:szCs w:val="32"/>
        </w:rPr>
        <w:t>公开网及中国裁判文书网</w:t>
      </w:r>
      <w:r>
        <w:rPr>
          <w:rFonts w:hint="eastAsia" w:ascii="仿宋_GB2312" w:eastAsia="仿宋_GB2312"/>
          <w:sz w:val="32"/>
          <w:szCs w:val="32"/>
        </w:rPr>
        <w:t>上</w:t>
      </w:r>
      <w:r>
        <w:rPr>
          <w:rFonts w:ascii="仿宋_GB2312" w:eastAsia="仿宋_GB2312"/>
          <w:sz w:val="32"/>
          <w:szCs w:val="32"/>
        </w:rPr>
        <w:t>“100%公示”，裁判文书上网率=已上网文书</w:t>
      </w:r>
      <w:r>
        <w:rPr>
          <w:rFonts w:hint="eastAsia" w:ascii="仿宋_GB2312" w:eastAsia="仿宋_GB2312"/>
          <w:sz w:val="32"/>
          <w:szCs w:val="32"/>
        </w:rPr>
        <w:t>数/（</w:t>
      </w:r>
      <w:r>
        <w:rPr>
          <w:rFonts w:ascii="仿宋_GB2312" w:eastAsia="仿宋_GB2312"/>
          <w:sz w:val="32"/>
          <w:szCs w:val="32"/>
        </w:rPr>
        <w:t>结案数-生效裁判文书经审批不上网数）。</w:t>
      </w:r>
    </w:p>
    <w:p>
      <w:pPr>
        <w:ind w:firstLine="640" w:firstLineChars="200"/>
        <w:rPr>
          <w:rFonts w:ascii="仿宋_GB2312" w:eastAsia="仿宋_GB2312"/>
          <w:sz w:val="32"/>
          <w:szCs w:val="32"/>
        </w:rPr>
      </w:pPr>
      <w:r>
        <w:rPr>
          <w:rFonts w:hint="eastAsia" w:ascii="仿宋_GB2312" w:eastAsia="仿宋_GB2312"/>
          <w:sz w:val="32"/>
          <w:szCs w:val="32"/>
        </w:rPr>
        <w:t>上半年对2018年下半年审结案件进行裁判文书上网“双百”核查，完成“双百”核查的得</w:t>
      </w:r>
      <w:r>
        <w:rPr>
          <w:rFonts w:ascii="仿宋_GB2312" w:eastAsia="仿宋_GB2312"/>
          <w:sz w:val="32"/>
          <w:szCs w:val="32"/>
        </w:rPr>
        <w:t>0.25</w:t>
      </w:r>
      <w:r>
        <w:rPr>
          <w:rFonts w:hint="eastAsia" w:ascii="仿宋_GB2312" w:eastAsia="仿宋_GB2312"/>
          <w:sz w:val="32"/>
          <w:szCs w:val="32"/>
        </w:rPr>
        <w:t>分，完不成的减</w:t>
      </w:r>
      <w:r>
        <w:rPr>
          <w:rFonts w:ascii="仿宋_GB2312" w:eastAsia="仿宋_GB2312"/>
          <w:sz w:val="32"/>
          <w:szCs w:val="32"/>
        </w:rPr>
        <w:t>0.25</w:t>
      </w:r>
      <w:r>
        <w:rPr>
          <w:rFonts w:hint="eastAsia" w:ascii="仿宋_GB2312" w:eastAsia="仿宋_GB2312"/>
          <w:sz w:val="32"/>
          <w:szCs w:val="32"/>
        </w:rPr>
        <w:t>分。年底对2019年上半年审结案件进行裁判文书上网“双百”核查，完成“双百”核查的得</w:t>
      </w:r>
      <w:r>
        <w:rPr>
          <w:rFonts w:ascii="仿宋_GB2312" w:eastAsia="仿宋_GB2312"/>
          <w:sz w:val="32"/>
          <w:szCs w:val="32"/>
        </w:rPr>
        <w:t>0.25</w:t>
      </w:r>
      <w:r>
        <w:rPr>
          <w:rFonts w:hint="eastAsia" w:ascii="仿宋_GB2312" w:eastAsia="仿宋_GB2312"/>
          <w:sz w:val="32"/>
          <w:szCs w:val="32"/>
        </w:rPr>
        <w:t>，完不成的减</w:t>
      </w:r>
      <w:r>
        <w:rPr>
          <w:rFonts w:ascii="仿宋_GB2312" w:eastAsia="仿宋_GB2312"/>
          <w:sz w:val="32"/>
          <w:szCs w:val="32"/>
        </w:rPr>
        <w:t>0.25</w:t>
      </w:r>
      <w:r>
        <w:rPr>
          <w:rFonts w:hint="eastAsia" w:ascii="仿宋_GB2312" w:eastAsia="仿宋_GB2312"/>
          <w:sz w:val="32"/>
          <w:szCs w:val="32"/>
        </w:rPr>
        <w:t>分。</w:t>
      </w:r>
    </w:p>
    <w:p>
      <w:pPr>
        <w:ind w:firstLine="640" w:firstLineChars="200"/>
        <w:rPr>
          <w:rFonts w:ascii="黑体" w:hAnsi="黑体" w:eastAsia="黑体"/>
          <w:sz w:val="32"/>
          <w:szCs w:val="32"/>
        </w:rPr>
      </w:pPr>
      <w:r>
        <w:rPr>
          <w:rFonts w:hint="eastAsia" w:ascii="仿宋_GB2312" w:eastAsia="仿宋_GB2312"/>
          <w:sz w:val="32"/>
          <w:szCs w:val="32"/>
        </w:rPr>
        <w:t>上半年对201</w:t>
      </w:r>
      <w:r>
        <w:rPr>
          <w:rFonts w:ascii="仿宋_GB2312" w:eastAsia="仿宋_GB2312"/>
          <w:sz w:val="32"/>
          <w:szCs w:val="32"/>
        </w:rPr>
        <w:t>9</w:t>
      </w:r>
      <w:r>
        <w:rPr>
          <w:rFonts w:hint="eastAsia" w:ascii="仿宋_GB2312" w:eastAsia="仿宋_GB2312"/>
          <w:sz w:val="32"/>
          <w:szCs w:val="32"/>
        </w:rPr>
        <w:t>年度裁判文书上网率进行考核，裁判文书上网率达到</w:t>
      </w:r>
      <w:r>
        <w:rPr>
          <w:rFonts w:ascii="仿宋_GB2312" w:eastAsia="仿宋_GB2312"/>
          <w:sz w:val="32"/>
          <w:szCs w:val="32"/>
        </w:rPr>
        <w:t>55</w:t>
      </w:r>
      <w:r>
        <w:rPr>
          <w:rFonts w:hint="eastAsia" w:ascii="仿宋_GB2312" w:eastAsia="仿宋_GB2312"/>
          <w:sz w:val="32"/>
          <w:szCs w:val="32"/>
        </w:rPr>
        <w:t>%（州法院60%），达到</w:t>
      </w:r>
      <w:r>
        <w:rPr>
          <w:rFonts w:ascii="仿宋_GB2312" w:eastAsia="仿宋_GB2312"/>
          <w:sz w:val="32"/>
          <w:szCs w:val="32"/>
        </w:rPr>
        <w:t>55</w:t>
      </w:r>
      <w:r>
        <w:rPr>
          <w:rFonts w:hint="eastAsia" w:ascii="仿宋_GB2312" w:eastAsia="仿宋_GB2312"/>
          <w:sz w:val="32"/>
          <w:szCs w:val="32"/>
        </w:rPr>
        <w:t>%的得</w:t>
      </w:r>
      <w:r>
        <w:rPr>
          <w:rFonts w:ascii="仿宋_GB2312" w:eastAsia="仿宋_GB2312"/>
          <w:sz w:val="32"/>
          <w:szCs w:val="32"/>
        </w:rPr>
        <w:t>0.25</w:t>
      </w:r>
      <w:r>
        <w:rPr>
          <w:rFonts w:hint="eastAsia" w:ascii="仿宋_GB2312" w:eastAsia="仿宋_GB2312"/>
          <w:sz w:val="32"/>
          <w:szCs w:val="32"/>
        </w:rPr>
        <w:t>分，达不到</w:t>
      </w:r>
      <w:r>
        <w:rPr>
          <w:rFonts w:ascii="仿宋_GB2312" w:eastAsia="仿宋_GB2312"/>
          <w:sz w:val="32"/>
          <w:szCs w:val="32"/>
        </w:rPr>
        <w:t>55</w:t>
      </w:r>
      <w:r>
        <w:rPr>
          <w:rFonts w:hint="eastAsia" w:ascii="仿宋_GB2312" w:eastAsia="仿宋_GB2312"/>
          <w:sz w:val="32"/>
          <w:szCs w:val="32"/>
        </w:rPr>
        <w:t>%的予以减分，每低于基础比率0.个百分点减0.01分，减分以</w:t>
      </w:r>
      <w:r>
        <w:rPr>
          <w:rFonts w:ascii="仿宋_GB2312" w:eastAsia="仿宋_GB2312"/>
          <w:sz w:val="32"/>
          <w:szCs w:val="32"/>
        </w:rPr>
        <w:t>0.25</w:t>
      </w:r>
      <w:r>
        <w:rPr>
          <w:rFonts w:hint="eastAsia" w:ascii="仿宋_GB2312" w:eastAsia="仿宋_GB2312"/>
          <w:sz w:val="32"/>
          <w:szCs w:val="32"/>
        </w:rPr>
        <w:t>分为限。年底对2019年全年裁判文书上网率进行考核，裁判文书上网率达到</w:t>
      </w:r>
      <w:r>
        <w:rPr>
          <w:rFonts w:ascii="仿宋_GB2312" w:eastAsia="仿宋_GB2312"/>
          <w:sz w:val="32"/>
          <w:szCs w:val="32"/>
        </w:rPr>
        <w:t>75</w:t>
      </w:r>
      <w:r>
        <w:rPr>
          <w:rFonts w:hint="eastAsia" w:ascii="仿宋_GB2312" w:eastAsia="仿宋_GB2312"/>
          <w:sz w:val="32"/>
          <w:szCs w:val="32"/>
        </w:rPr>
        <w:t>%（州法院80%），达到</w:t>
      </w:r>
      <w:r>
        <w:rPr>
          <w:rFonts w:ascii="仿宋_GB2312" w:eastAsia="仿宋_GB2312"/>
          <w:sz w:val="32"/>
          <w:szCs w:val="32"/>
        </w:rPr>
        <w:t>75</w:t>
      </w:r>
      <w:r>
        <w:rPr>
          <w:rFonts w:hint="eastAsia" w:ascii="仿宋_GB2312" w:eastAsia="仿宋_GB2312"/>
          <w:sz w:val="32"/>
          <w:szCs w:val="32"/>
        </w:rPr>
        <w:t>%的得</w:t>
      </w:r>
      <w:r>
        <w:rPr>
          <w:rFonts w:ascii="仿宋_GB2312" w:eastAsia="仿宋_GB2312"/>
          <w:sz w:val="32"/>
          <w:szCs w:val="32"/>
        </w:rPr>
        <w:t>0.25</w:t>
      </w:r>
      <w:r>
        <w:rPr>
          <w:rFonts w:hint="eastAsia" w:ascii="仿宋_GB2312" w:eastAsia="仿宋_GB2312"/>
          <w:sz w:val="32"/>
          <w:szCs w:val="32"/>
        </w:rPr>
        <w:t>分，达不到</w:t>
      </w:r>
      <w:r>
        <w:rPr>
          <w:rFonts w:ascii="仿宋_GB2312" w:eastAsia="仿宋_GB2312"/>
          <w:sz w:val="32"/>
          <w:szCs w:val="32"/>
        </w:rPr>
        <w:t>75</w:t>
      </w:r>
      <w:r>
        <w:rPr>
          <w:rFonts w:hint="eastAsia" w:ascii="仿宋_GB2312" w:eastAsia="仿宋_GB2312"/>
          <w:sz w:val="32"/>
          <w:szCs w:val="32"/>
        </w:rPr>
        <w:t>%的予以减分，每低于基础比率0.个百分点减0.01分，减分以</w:t>
      </w:r>
      <w:r>
        <w:rPr>
          <w:rFonts w:ascii="仿宋_GB2312" w:eastAsia="仿宋_GB2312"/>
          <w:sz w:val="32"/>
          <w:szCs w:val="32"/>
        </w:rPr>
        <w:t>0.25</w:t>
      </w:r>
      <w:r>
        <w:rPr>
          <w:rFonts w:hint="eastAsia" w:ascii="仿宋_GB2312" w:eastAsia="仿宋_GB2312"/>
          <w:sz w:val="32"/>
          <w:szCs w:val="32"/>
        </w:rPr>
        <w:t>分为限。</w:t>
      </w: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我院裁判文书上网率为</w:t>
      </w:r>
      <w:r>
        <w:rPr>
          <w:rFonts w:hint="eastAsia" w:ascii="黑体" w:hAnsi="黑体" w:eastAsia="黑体"/>
          <w:sz w:val="32"/>
          <w:szCs w:val="32"/>
          <w:lang w:val="en-US" w:eastAsia="zh-CN"/>
        </w:rPr>
        <w:t>90.04</w:t>
      </w:r>
      <w:r>
        <w:rPr>
          <w:rFonts w:hint="eastAsia" w:ascii="黑体" w:hAnsi="黑体" w:eastAsia="黑体"/>
          <w:sz w:val="32"/>
          <w:szCs w:val="32"/>
        </w:rPr>
        <w:t>%，超过省院要求的上半年裁判文书上网率达到</w:t>
      </w:r>
      <w:r>
        <w:rPr>
          <w:rFonts w:ascii="黑体" w:hAnsi="黑体" w:eastAsia="黑体"/>
          <w:sz w:val="32"/>
          <w:szCs w:val="32"/>
        </w:rPr>
        <w:t>55</w:t>
      </w:r>
      <w:r>
        <w:rPr>
          <w:rFonts w:hint="eastAsia" w:ascii="黑体" w:hAnsi="黑体" w:eastAsia="黑体"/>
          <w:sz w:val="32"/>
          <w:szCs w:val="32"/>
        </w:rPr>
        <w:t>%的规定的</w:t>
      </w:r>
      <w:r>
        <w:rPr>
          <w:rFonts w:ascii="黑体" w:hAnsi="黑体" w:eastAsia="黑体"/>
          <w:sz w:val="32"/>
          <w:szCs w:val="32"/>
        </w:rPr>
        <w:t>+</w:t>
      </w:r>
      <w:r>
        <w:rPr>
          <w:rFonts w:hint="eastAsia" w:ascii="黑体" w:hAnsi="黑体" w:eastAsia="黑体"/>
          <w:sz w:val="32"/>
          <w:szCs w:val="32"/>
          <w:lang w:val="en-US" w:eastAsia="zh-CN"/>
        </w:rPr>
        <w:t>45.04</w:t>
      </w:r>
      <w:r>
        <w:rPr>
          <w:rFonts w:ascii="黑体" w:hAnsi="黑体" w:eastAsia="黑体"/>
          <w:sz w:val="32"/>
          <w:szCs w:val="32"/>
        </w:rPr>
        <w:t>%</w:t>
      </w:r>
      <w:r>
        <w:rPr>
          <w:rFonts w:hint="eastAsia" w:ascii="黑体" w:hAnsi="黑体" w:eastAsia="黑体"/>
          <w:sz w:val="32"/>
          <w:szCs w:val="32"/>
        </w:rPr>
        <w:t>，应当继续保持。</w:t>
      </w:r>
    </w:p>
    <w:p>
      <w:pPr>
        <w:rPr>
          <w:rFonts w:ascii="黑体" w:hAnsi="黑体" w:eastAsia="黑体"/>
          <w:sz w:val="32"/>
          <w:szCs w:val="32"/>
        </w:rPr>
      </w:pPr>
      <w:r>
        <w:rPr>
          <w:rFonts w:ascii="黑体" w:hAnsi="黑体" w:eastAsia="黑体"/>
          <w:sz w:val="32"/>
          <w:szCs w:val="32"/>
        </w:rPr>
        <w:object>
          <v:shape id="_x0000_i1032" o:spt="75" type="#_x0000_t75" style="height:408.5pt;width:397.5pt;" o:ole="t" filled="f" o:preferrelative="t" stroked="f" coordsize="21600,21600">
            <v:path/>
            <v:fill on="f" focussize="0,0"/>
            <v:stroke on="f"/>
            <v:imagedata r:id="rId24" o:title=""/>
            <o:lock v:ext="edit" aspectratio="t"/>
            <w10:wrap type="none"/>
            <w10:anchorlock/>
          </v:shape>
          <o:OLEObject Type="Embed" ProgID="Excel.Sheet.12" ShapeID="_x0000_i1032" DrawAspect="Content" ObjectID="_1468075732" r:id="rId23">
            <o:LockedField>false</o:LockedField>
          </o:OLEObject>
        </w:object>
      </w:r>
    </w:p>
    <w:p>
      <w:pPr>
        <w:ind w:firstLine="643" w:firstLineChars="200"/>
        <w:outlineLvl w:val="1"/>
        <w:rPr>
          <w:rFonts w:ascii="仿宋_GB2312" w:eastAsia="仿宋_GB2312"/>
          <w:b/>
          <w:sz w:val="32"/>
          <w:szCs w:val="32"/>
        </w:rPr>
      </w:pPr>
      <w:r>
        <w:rPr>
          <w:rFonts w:hint="eastAsia" w:ascii="仿宋_GB2312" w:eastAsia="仿宋_GB2312"/>
          <w:b/>
          <w:sz w:val="32"/>
          <w:szCs w:val="32"/>
        </w:rPr>
        <w:t>（十五）庭审直播数占比指标（</w:t>
      </w:r>
      <w:r>
        <w:rPr>
          <w:rFonts w:ascii="仿宋_GB2312" w:eastAsia="仿宋_GB2312"/>
          <w:b/>
          <w:sz w:val="32"/>
          <w:szCs w:val="32"/>
        </w:rPr>
        <w:t>1</w:t>
      </w:r>
      <w:r>
        <w:rPr>
          <w:rFonts w:hint="eastAsia" w:ascii="仿宋_GB2312" w:eastAsia="仿宋_GB2312"/>
          <w:b/>
          <w:sz w:val="32"/>
          <w:szCs w:val="32"/>
        </w:rPr>
        <w:t>分，</w:t>
      </w:r>
      <w:r>
        <w:rPr>
          <w:rFonts w:ascii="仿宋_GB2312" w:eastAsia="仿宋_GB2312"/>
          <w:b/>
          <w:sz w:val="32"/>
          <w:szCs w:val="32"/>
        </w:rPr>
        <w:t>加分</w:t>
      </w:r>
      <w:r>
        <w:rPr>
          <w:rFonts w:hint="eastAsia" w:ascii="仿宋_GB2312" w:eastAsia="仿宋_GB2312"/>
          <w:b/>
          <w:sz w:val="32"/>
          <w:szCs w:val="32"/>
        </w:rPr>
        <w:t>0.5分）</w:t>
      </w:r>
    </w:p>
    <w:p>
      <w:pPr>
        <w:ind w:firstLine="640" w:firstLineChars="200"/>
        <w:rPr>
          <w:rFonts w:ascii="仿宋_GB2312" w:eastAsia="仿宋_GB2312"/>
          <w:sz w:val="32"/>
          <w:szCs w:val="32"/>
        </w:rPr>
      </w:pPr>
      <w:r>
        <w:rPr>
          <w:rFonts w:hint="eastAsia" w:ascii="仿宋_GB2312" w:eastAsia="仿宋_GB2312"/>
          <w:sz w:val="32"/>
          <w:szCs w:val="32"/>
        </w:rPr>
        <w:t>用于考核庭审直播工作情况，按年度进行考核。</w:t>
      </w:r>
    </w:p>
    <w:p>
      <w:pPr>
        <w:ind w:firstLine="640" w:firstLineChars="200"/>
        <w:rPr>
          <w:rFonts w:ascii="黑体" w:hAnsi="黑体" w:eastAsia="黑体"/>
          <w:sz w:val="32"/>
          <w:szCs w:val="32"/>
        </w:rPr>
      </w:pPr>
      <w:r>
        <w:rPr>
          <w:rFonts w:hint="eastAsia" w:ascii="仿宋_GB2312" w:eastAsia="仿宋_GB2312"/>
          <w:sz w:val="32"/>
          <w:szCs w:val="32"/>
        </w:rPr>
        <w:t>全国</w:t>
      </w:r>
      <w:r>
        <w:rPr>
          <w:rFonts w:ascii="仿宋_GB2312" w:eastAsia="仿宋_GB2312"/>
          <w:sz w:val="32"/>
          <w:szCs w:val="32"/>
        </w:rPr>
        <w:t>各地</w:t>
      </w:r>
      <w:r>
        <w:rPr>
          <w:rFonts w:hint="eastAsia" w:ascii="仿宋_GB2312" w:eastAsia="仿宋_GB2312"/>
          <w:sz w:val="32"/>
          <w:szCs w:val="32"/>
        </w:rPr>
        <w:t>（</w:t>
      </w:r>
      <w:r>
        <w:rPr>
          <w:rFonts w:ascii="仿宋_GB2312" w:eastAsia="仿宋_GB2312"/>
          <w:sz w:val="32"/>
          <w:szCs w:val="32"/>
        </w:rPr>
        <w:t>辖）</w:t>
      </w:r>
      <w:r>
        <w:rPr>
          <w:rFonts w:hint="eastAsia" w:ascii="仿宋_GB2312" w:eastAsia="仿宋_GB2312"/>
          <w:sz w:val="32"/>
          <w:szCs w:val="32"/>
        </w:rPr>
        <w:t>区法院</w:t>
      </w:r>
      <w:r>
        <w:rPr>
          <w:rFonts w:ascii="仿宋_GB2312" w:eastAsia="仿宋_GB2312"/>
          <w:sz w:val="32"/>
          <w:szCs w:val="32"/>
        </w:rPr>
        <w:t>直播庭审案件总数应当不低于本地（辖）区当年受理诉讼案件总数的</w:t>
      </w:r>
      <w:r>
        <w:rPr>
          <w:rFonts w:hint="eastAsia" w:ascii="仿宋_GB2312" w:eastAsia="仿宋_GB2312"/>
          <w:sz w:val="32"/>
          <w:szCs w:val="32"/>
        </w:rPr>
        <w:t>20</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州法院</w:t>
      </w:r>
      <w:r>
        <w:rPr>
          <w:rFonts w:hint="eastAsia" w:ascii="仿宋_GB2312" w:eastAsia="仿宋_GB2312"/>
          <w:sz w:val="32"/>
          <w:szCs w:val="32"/>
        </w:rPr>
        <w:t>22</w:t>
      </w:r>
      <w:r>
        <w:rPr>
          <w:rFonts w:ascii="仿宋_GB2312" w:eastAsia="仿宋_GB2312"/>
          <w:sz w:val="32"/>
          <w:szCs w:val="32"/>
        </w:rPr>
        <w:t>%），直播</w:t>
      </w:r>
      <w:r>
        <w:rPr>
          <w:rFonts w:hint="eastAsia" w:ascii="仿宋_GB2312" w:eastAsia="仿宋_GB2312"/>
          <w:sz w:val="32"/>
          <w:szCs w:val="32"/>
        </w:rPr>
        <w:t>案件</w:t>
      </w:r>
      <w:r>
        <w:rPr>
          <w:rFonts w:ascii="仿宋_GB2312" w:eastAsia="仿宋_GB2312"/>
          <w:sz w:val="32"/>
          <w:szCs w:val="32"/>
        </w:rPr>
        <w:t>应当覆盖开庭审理的各种类型案件。</w:t>
      </w:r>
      <w:r>
        <w:rPr>
          <w:rFonts w:hint="eastAsia" w:ascii="仿宋_GB2312" w:eastAsia="仿宋_GB2312"/>
          <w:sz w:val="32"/>
          <w:szCs w:val="32"/>
        </w:rPr>
        <w:t>此项指标</w:t>
      </w:r>
      <w:r>
        <w:rPr>
          <w:rFonts w:ascii="仿宋_GB2312" w:eastAsia="仿宋_GB2312"/>
          <w:sz w:val="32"/>
          <w:szCs w:val="32"/>
        </w:rPr>
        <w:t>基础分值设定为</w:t>
      </w:r>
      <w:r>
        <w:rPr>
          <w:rFonts w:hint="eastAsia" w:ascii="仿宋_GB2312" w:eastAsia="仿宋_GB2312"/>
          <w:sz w:val="32"/>
          <w:szCs w:val="32"/>
        </w:rPr>
        <w:t>1分</w:t>
      </w:r>
      <w:r>
        <w:rPr>
          <w:rFonts w:ascii="仿宋_GB2312" w:eastAsia="仿宋_GB2312"/>
          <w:sz w:val="32"/>
          <w:szCs w:val="32"/>
        </w:rPr>
        <w:t>，庭审直播数占比达到</w:t>
      </w:r>
      <w:r>
        <w:rPr>
          <w:rFonts w:hint="eastAsia" w:ascii="仿宋_GB2312" w:eastAsia="仿宋_GB2312"/>
          <w:sz w:val="32"/>
          <w:szCs w:val="32"/>
        </w:rPr>
        <w:t>20</w:t>
      </w:r>
      <w:r>
        <w:rPr>
          <w:rFonts w:ascii="仿宋_GB2312" w:eastAsia="仿宋_GB2312"/>
          <w:sz w:val="32"/>
          <w:szCs w:val="32"/>
        </w:rPr>
        <w:t>%的得</w:t>
      </w:r>
      <w:r>
        <w:rPr>
          <w:rFonts w:hint="eastAsia" w:ascii="仿宋_GB2312" w:eastAsia="仿宋_GB2312"/>
          <w:sz w:val="32"/>
          <w:szCs w:val="32"/>
        </w:rPr>
        <w:t>1分</w:t>
      </w:r>
      <w:r>
        <w:rPr>
          <w:rFonts w:ascii="仿宋_GB2312" w:eastAsia="仿宋_GB2312"/>
          <w:sz w:val="32"/>
          <w:szCs w:val="32"/>
        </w:rPr>
        <w:t>，占比达不到</w:t>
      </w:r>
      <w:r>
        <w:rPr>
          <w:rFonts w:hint="eastAsia" w:ascii="仿宋_GB2312" w:eastAsia="仿宋_GB2312"/>
          <w:sz w:val="32"/>
          <w:szCs w:val="32"/>
        </w:rPr>
        <w:t>20</w:t>
      </w:r>
      <w:r>
        <w:rPr>
          <w:rFonts w:ascii="仿宋_GB2312" w:eastAsia="仿宋_GB2312"/>
          <w:sz w:val="32"/>
          <w:szCs w:val="32"/>
        </w:rPr>
        <w:t>%的予以减分，</w:t>
      </w:r>
      <w:r>
        <w:rPr>
          <w:rFonts w:hint="eastAsia" w:ascii="仿宋_GB2312" w:eastAsia="仿宋_GB2312"/>
          <w:sz w:val="32"/>
          <w:szCs w:val="32"/>
        </w:rPr>
        <w:t>每低于基础比率0.1个百分点减</w:t>
      </w:r>
      <w:r>
        <w:rPr>
          <w:rFonts w:ascii="仿宋_GB2312" w:eastAsia="仿宋_GB2312"/>
          <w:sz w:val="32"/>
          <w:szCs w:val="32"/>
        </w:rPr>
        <w:t>0.02</w:t>
      </w:r>
      <w:r>
        <w:rPr>
          <w:rFonts w:hint="eastAsia" w:ascii="仿宋_GB2312" w:eastAsia="仿宋_GB2312"/>
          <w:sz w:val="32"/>
          <w:szCs w:val="32"/>
        </w:rPr>
        <w:t>分，减分以</w:t>
      </w:r>
      <w:r>
        <w:rPr>
          <w:rFonts w:ascii="仿宋_GB2312" w:eastAsia="仿宋_GB2312"/>
          <w:sz w:val="32"/>
          <w:szCs w:val="32"/>
        </w:rPr>
        <w:t>1</w:t>
      </w:r>
      <w:r>
        <w:rPr>
          <w:rFonts w:hint="eastAsia" w:ascii="仿宋_GB2312" w:eastAsia="仿宋_GB2312"/>
          <w:sz w:val="32"/>
          <w:szCs w:val="32"/>
        </w:rPr>
        <w:t>分为限。各地（</w:t>
      </w:r>
      <w:r>
        <w:rPr>
          <w:rFonts w:ascii="仿宋_GB2312" w:eastAsia="仿宋_GB2312"/>
          <w:sz w:val="32"/>
          <w:szCs w:val="32"/>
        </w:rPr>
        <w:t>辖）区法院实现员额法官（不</w:t>
      </w:r>
      <w:r>
        <w:rPr>
          <w:rFonts w:hint="eastAsia" w:ascii="仿宋_GB2312" w:eastAsia="仿宋_GB2312"/>
          <w:sz w:val="32"/>
          <w:szCs w:val="32"/>
        </w:rPr>
        <w:t>含</w:t>
      </w:r>
      <w:r>
        <w:rPr>
          <w:rFonts w:ascii="仿宋_GB2312" w:eastAsia="仿宋_GB2312"/>
          <w:sz w:val="32"/>
          <w:szCs w:val="32"/>
        </w:rPr>
        <w:t>执行法官</w:t>
      </w:r>
      <w:r>
        <w:rPr>
          <w:rFonts w:hint="eastAsia" w:ascii="仿宋_GB2312" w:eastAsia="仿宋_GB2312"/>
          <w:sz w:val="32"/>
          <w:szCs w:val="32"/>
        </w:rPr>
        <w:t>）</w:t>
      </w:r>
      <w:r>
        <w:rPr>
          <w:rFonts w:ascii="仿宋_GB2312" w:eastAsia="仿宋_GB2312"/>
          <w:sz w:val="32"/>
          <w:szCs w:val="32"/>
        </w:rPr>
        <w:t>庭审直播全覆盖的加</w:t>
      </w:r>
      <w:r>
        <w:rPr>
          <w:rFonts w:hint="eastAsia" w:ascii="仿宋_GB2312" w:eastAsia="仿宋_GB2312"/>
          <w:sz w:val="32"/>
          <w:szCs w:val="32"/>
        </w:rPr>
        <w:t>0.5分</w:t>
      </w:r>
      <w:r>
        <w:rPr>
          <w:rFonts w:ascii="仿宋_GB2312" w:eastAsia="仿宋_GB2312"/>
          <w:sz w:val="32"/>
          <w:szCs w:val="32"/>
        </w:rPr>
        <w:t>。</w:t>
      </w: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我院当年受理诉讼案件为1</w:t>
      </w:r>
      <w:r>
        <w:rPr>
          <w:rFonts w:hint="eastAsia" w:ascii="黑体" w:hAnsi="黑体" w:eastAsia="黑体"/>
          <w:sz w:val="32"/>
          <w:szCs w:val="32"/>
          <w:lang w:val="en-US" w:eastAsia="zh-CN"/>
        </w:rPr>
        <w:t>126</w:t>
      </w:r>
      <w:r>
        <w:rPr>
          <w:rFonts w:hint="eastAsia" w:ascii="黑体" w:hAnsi="黑体" w:eastAsia="黑体"/>
          <w:sz w:val="32"/>
          <w:szCs w:val="32"/>
        </w:rPr>
        <w:t>件，庭审直播数应当为</w:t>
      </w:r>
      <w:r>
        <w:rPr>
          <w:rFonts w:hint="eastAsia" w:ascii="黑体" w:hAnsi="黑体" w:eastAsia="黑体"/>
          <w:sz w:val="32"/>
          <w:szCs w:val="32"/>
          <w:lang w:val="en-US" w:eastAsia="zh-CN"/>
        </w:rPr>
        <w:t>225</w:t>
      </w:r>
      <w:r>
        <w:rPr>
          <w:rFonts w:hint="eastAsia" w:ascii="黑体" w:hAnsi="黑体" w:eastAsia="黑体"/>
          <w:sz w:val="32"/>
          <w:szCs w:val="32"/>
        </w:rPr>
        <w:t>件，已直播</w:t>
      </w:r>
      <w:r>
        <w:rPr>
          <w:rFonts w:hint="eastAsia" w:ascii="黑体" w:hAnsi="黑体" w:eastAsia="黑体"/>
          <w:sz w:val="32"/>
          <w:szCs w:val="32"/>
          <w:lang w:val="en-US" w:eastAsia="zh-CN"/>
        </w:rPr>
        <w:t>321</w:t>
      </w:r>
      <w:r>
        <w:rPr>
          <w:rFonts w:hint="eastAsia" w:ascii="黑体" w:hAnsi="黑体" w:eastAsia="黑体"/>
          <w:sz w:val="32"/>
          <w:szCs w:val="32"/>
        </w:rPr>
        <w:t>件，超过省院规定</w:t>
      </w:r>
      <w:r>
        <w:rPr>
          <w:rFonts w:hint="eastAsia" w:ascii="黑体" w:hAnsi="黑体" w:eastAsia="黑体"/>
          <w:sz w:val="32"/>
          <w:szCs w:val="32"/>
          <w:lang w:val="en-US" w:eastAsia="zh-CN"/>
        </w:rPr>
        <w:t>96</w:t>
      </w:r>
      <w:r>
        <w:rPr>
          <w:rFonts w:hint="eastAsia" w:ascii="黑体" w:hAnsi="黑体" w:eastAsia="黑体"/>
          <w:sz w:val="32"/>
          <w:szCs w:val="32"/>
        </w:rPr>
        <w:t>件，直播率为</w:t>
      </w:r>
      <w:r>
        <w:rPr>
          <w:rFonts w:hint="eastAsia" w:ascii="黑体" w:hAnsi="黑体" w:eastAsia="黑体"/>
          <w:sz w:val="32"/>
          <w:szCs w:val="32"/>
          <w:lang w:val="en-US" w:eastAsia="zh-CN"/>
        </w:rPr>
        <w:t>28.51</w:t>
      </w:r>
      <w:r>
        <w:rPr>
          <w:rFonts w:ascii="黑体" w:hAnsi="黑体" w:eastAsia="黑体"/>
          <w:sz w:val="32"/>
          <w:szCs w:val="32"/>
        </w:rPr>
        <w:t>%</w:t>
      </w:r>
      <w:r>
        <w:rPr>
          <w:rFonts w:hint="eastAsia" w:ascii="黑体" w:hAnsi="黑体" w:eastAsia="黑体"/>
          <w:sz w:val="32"/>
          <w:szCs w:val="32"/>
        </w:rPr>
        <w:t>，超过</w:t>
      </w:r>
      <w:r>
        <w:rPr>
          <w:rFonts w:ascii="黑体" w:hAnsi="黑体" w:eastAsia="黑体"/>
          <w:sz w:val="32"/>
          <w:szCs w:val="32"/>
        </w:rPr>
        <w:t>省</w:t>
      </w:r>
      <w:r>
        <w:rPr>
          <w:rFonts w:hint="eastAsia" w:ascii="黑体" w:hAnsi="黑体" w:eastAsia="黑体"/>
          <w:sz w:val="32"/>
          <w:szCs w:val="32"/>
        </w:rPr>
        <w:t>、</w:t>
      </w:r>
      <w:r>
        <w:rPr>
          <w:rFonts w:ascii="黑体" w:hAnsi="黑体" w:eastAsia="黑体"/>
          <w:sz w:val="32"/>
          <w:szCs w:val="32"/>
        </w:rPr>
        <w:t>州两级法院要求，</w:t>
      </w:r>
      <w:r>
        <w:rPr>
          <w:rFonts w:hint="eastAsia" w:ascii="黑体" w:hAnsi="黑体" w:eastAsia="黑体"/>
          <w:sz w:val="32"/>
          <w:szCs w:val="32"/>
        </w:rPr>
        <w:t>应当继续保持。</w:t>
      </w:r>
    </w:p>
    <w:p>
      <w:pPr>
        <w:rPr>
          <w:sz w:val="22"/>
          <w:szCs w:val="24"/>
        </w:rPr>
      </w:pPr>
      <w:r>
        <w:rPr>
          <w:sz w:val="22"/>
          <w:szCs w:val="24"/>
        </w:rPr>
        <w:object>
          <v:shape id="_x0000_i1033" o:spt="75" type="#_x0000_t75" style="height:175pt;width:460pt;" o:ole="t" filled="f" o:preferrelative="t" stroked="f" coordsize="21600,21600">
            <v:path/>
            <v:fill on="f" focussize="0,0"/>
            <v:stroke on="f"/>
            <v:imagedata r:id="rId26" o:title=""/>
            <o:lock v:ext="edit" aspectratio="f"/>
            <w10:wrap type="none"/>
            <w10:anchorlock/>
          </v:shape>
          <o:OLEObject Type="Embed" ProgID="Excel.Sheet.8" ShapeID="_x0000_i1033" DrawAspect="Content" ObjectID="_1468075733" r:id="rId25">
            <o:LockedField>false</o:LockedField>
          </o:OLEObject>
        </w:object>
      </w:r>
    </w:p>
    <w:p>
      <w:pPr>
        <w:ind w:firstLine="565" w:firstLineChars="176"/>
        <w:rPr>
          <w:rFonts w:ascii="仿宋_GB2312" w:eastAsia="仿宋_GB2312"/>
          <w:b/>
          <w:sz w:val="32"/>
          <w:szCs w:val="32"/>
        </w:rPr>
      </w:pPr>
      <w:r>
        <w:rPr>
          <w:rFonts w:hint="eastAsia" w:ascii="仿宋_GB2312" w:eastAsia="仿宋_GB2312"/>
          <w:b/>
          <w:sz w:val="32"/>
          <w:szCs w:val="32"/>
        </w:rPr>
        <w:t>（十六）审判流程信息公开情况指标（</w:t>
      </w:r>
      <w:r>
        <w:rPr>
          <w:rFonts w:ascii="仿宋_GB2312" w:eastAsia="仿宋_GB2312"/>
          <w:b/>
          <w:sz w:val="32"/>
          <w:szCs w:val="32"/>
        </w:rPr>
        <w:t>1</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用于考核审判流程信息公开情况，按年度进行考核。</w:t>
      </w:r>
    </w:p>
    <w:p>
      <w:pPr>
        <w:ind w:firstLine="640" w:firstLineChars="200"/>
        <w:rPr>
          <w:rFonts w:ascii="黑体" w:hAnsi="黑体" w:eastAsia="黑体"/>
          <w:sz w:val="32"/>
          <w:szCs w:val="32"/>
        </w:rPr>
      </w:pPr>
      <w:r>
        <w:rPr>
          <w:rFonts w:hint="eastAsia" w:ascii="仿宋_GB2312" w:eastAsia="仿宋_GB2312"/>
          <w:sz w:val="32"/>
          <w:szCs w:val="32"/>
        </w:rPr>
        <w:t>审判流程信息公开情况考核的</w:t>
      </w:r>
      <w:r>
        <w:rPr>
          <w:rFonts w:ascii="仿宋_GB2312" w:eastAsia="仿宋_GB2312"/>
          <w:sz w:val="32"/>
          <w:szCs w:val="32"/>
        </w:rPr>
        <w:t>基础分值设定为</w:t>
      </w:r>
      <w:r>
        <w:rPr>
          <w:rFonts w:hint="eastAsia" w:ascii="仿宋_GB2312" w:eastAsia="仿宋_GB2312"/>
          <w:sz w:val="32"/>
          <w:szCs w:val="32"/>
        </w:rPr>
        <w:t>1分</w:t>
      </w:r>
      <w:r>
        <w:rPr>
          <w:rFonts w:ascii="仿宋_GB2312" w:eastAsia="仿宋_GB2312"/>
          <w:sz w:val="32"/>
          <w:szCs w:val="32"/>
        </w:rPr>
        <w:t>，考核2019</w:t>
      </w:r>
      <w:r>
        <w:rPr>
          <w:rFonts w:hint="eastAsia" w:ascii="仿宋_GB2312" w:eastAsia="仿宋_GB2312"/>
          <w:sz w:val="32"/>
          <w:szCs w:val="32"/>
        </w:rPr>
        <w:t>年度</w:t>
      </w:r>
      <w:r>
        <w:rPr>
          <w:rFonts w:ascii="仿宋_GB2312" w:eastAsia="仿宋_GB2312"/>
          <w:sz w:val="32"/>
          <w:szCs w:val="32"/>
        </w:rPr>
        <w:t>应公开的</w:t>
      </w:r>
      <w:r>
        <w:rPr>
          <w:rFonts w:hint="eastAsia" w:ascii="仿宋_GB2312" w:eastAsia="仿宋_GB2312"/>
          <w:sz w:val="32"/>
          <w:szCs w:val="32"/>
        </w:rPr>
        <w:t>的刑事、民事、</w:t>
      </w:r>
      <w:r>
        <w:rPr>
          <w:rFonts w:ascii="仿宋_GB2312" w:eastAsia="仿宋_GB2312"/>
          <w:sz w:val="32"/>
          <w:szCs w:val="32"/>
        </w:rPr>
        <w:t>行政、赔偿</w:t>
      </w:r>
      <w:r>
        <w:rPr>
          <w:rFonts w:hint="eastAsia" w:ascii="仿宋_GB2312" w:eastAsia="仿宋_GB2312"/>
          <w:sz w:val="32"/>
          <w:szCs w:val="32"/>
        </w:rPr>
        <w:t>案件</w:t>
      </w:r>
      <w:r>
        <w:rPr>
          <w:rFonts w:ascii="仿宋_GB2312" w:eastAsia="仿宋_GB2312"/>
          <w:sz w:val="32"/>
          <w:szCs w:val="32"/>
        </w:rPr>
        <w:t>在中国审判流程</w:t>
      </w:r>
      <w:r>
        <w:rPr>
          <w:rFonts w:hint="eastAsia" w:ascii="仿宋_GB2312" w:eastAsia="仿宋_GB2312"/>
          <w:sz w:val="32"/>
          <w:szCs w:val="32"/>
        </w:rPr>
        <w:t>信息公开网上的公开情况</w:t>
      </w:r>
      <w:r>
        <w:rPr>
          <w:rFonts w:ascii="仿宋_GB2312" w:eastAsia="仿宋_GB2312"/>
          <w:sz w:val="32"/>
          <w:szCs w:val="32"/>
        </w:rPr>
        <w:t>，存在应公开但未公开案件的，每</w:t>
      </w:r>
      <w:r>
        <w:rPr>
          <w:rFonts w:hint="eastAsia" w:ascii="仿宋_GB2312" w:eastAsia="仿宋_GB2312"/>
          <w:sz w:val="32"/>
          <w:szCs w:val="32"/>
        </w:rPr>
        <w:t>1件</w:t>
      </w:r>
      <w:r>
        <w:rPr>
          <w:rFonts w:ascii="仿宋_GB2312" w:eastAsia="仿宋_GB2312"/>
          <w:sz w:val="32"/>
          <w:szCs w:val="32"/>
        </w:rPr>
        <w:t>减</w:t>
      </w:r>
      <w:r>
        <w:rPr>
          <w:rFonts w:hint="eastAsia" w:ascii="仿宋_GB2312" w:eastAsia="仿宋_GB2312"/>
          <w:sz w:val="32"/>
          <w:szCs w:val="32"/>
        </w:rPr>
        <w:t>0.01分</w:t>
      </w:r>
      <w:r>
        <w:rPr>
          <w:rFonts w:ascii="仿宋_GB2312" w:eastAsia="仿宋_GB2312"/>
          <w:sz w:val="32"/>
          <w:szCs w:val="32"/>
        </w:rPr>
        <w:t>，</w:t>
      </w:r>
      <w:r>
        <w:rPr>
          <w:rFonts w:hint="eastAsia" w:ascii="仿宋_GB2312" w:eastAsia="仿宋_GB2312"/>
          <w:sz w:val="32"/>
          <w:szCs w:val="32"/>
        </w:rPr>
        <w:t>减分以1分为限。</w:t>
      </w:r>
      <w:r>
        <w:rPr>
          <w:rFonts w:hint="eastAsia" w:ascii="黑体" w:hAnsi="黑体" w:eastAsia="黑体"/>
          <w:sz w:val="32"/>
          <w:szCs w:val="32"/>
        </w:rPr>
        <w:t>该工作我院已经落实并实际开展，该项由中院按年度考核。</w:t>
      </w:r>
    </w:p>
    <w:p>
      <w:pPr>
        <w:ind w:firstLine="643" w:firstLineChars="200"/>
        <w:outlineLvl w:val="1"/>
        <w:rPr>
          <w:rFonts w:ascii="仿宋_GB2312" w:eastAsia="仿宋_GB2312"/>
          <w:b/>
          <w:sz w:val="32"/>
          <w:szCs w:val="32"/>
        </w:rPr>
      </w:pPr>
      <w:r>
        <w:rPr>
          <w:rFonts w:hint="eastAsia" w:ascii="仿宋_GB2312" w:eastAsia="仿宋_GB2312"/>
          <w:b/>
          <w:sz w:val="32"/>
          <w:szCs w:val="32"/>
        </w:rPr>
        <w:t>（十七）司法透明度测评工作指标（2分）</w:t>
      </w:r>
    </w:p>
    <w:p>
      <w:pPr>
        <w:ind w:firstLine="640" w:firstLineChars="200"/>
        <w:rPr>
          <w:rFonts w:ascii="黑体" w:hAnsi="黑体" w:eastAsia="黑体"/>
          <w:sz w:val="32"/>
          <w:szCs w:val="32"/>
        </w:rPr>
      </w:pPr>
      <w:r>
        <w:rPr>
          <w:rFonts w:hint="eastAsia" w:ascii="仿宋_GB2312" w:eastAsia="仿宋_GB2312"/>
          <w:sz w:val="32"/>
          <w:szCs w:val="32"/>
        </w:rPr>
        <w:t>用于</w:t>
      </w:r>
      <w:r>
        <w:rPr>
          <w:rFonts w:ascii="仿宋_GB2312" w:eastAsia="仿宋_GB2312"/>
          <w:sz w:val="32"/>
          <w:szCs w:val="32"/>
        </w:rPr>
        <w:t>考核司法透明度测评工作情况，</w:t>
      </w:r>
      <w:r>
        <w:rPr>
          <w:rFonts w:hint="eastAsia" w:ascii="仿宋_GB2312" w:eastAsia="仿宋_GB2312"/>
          <w:sz w:val="32"/>
          <w:szCs w:val="32"/>
        </w:rPr>
        <w:t>按年度进行考核。司法透明度</w:t>
      </w:r>
      <w:r>
        <w:rPr>
          <w:rFonts w:ascii="仿宋_GB2312" w:eastAsia="仿宋_GB2312"/>
          <w:sz w:val="32"/>
          <w:szCs w:val="32"/>
        </w:rPr>
        <w:t>测评工作</w:t>
      </w:r>
      <w:r>
        <w:rPr>
          <w:rFonts w:hint="eastAsia" w:ascii="仿宋_GB2312" w:eastAsia="仿宋_GB2312"/>
          <w:sz w:val="32"/>
          <w:szCs w:val="32"/>
        </w:rPr>
        <w:t>考核的</w:t>
      </w:r>
      <w:r>
        <w:rPr>
          <w:rFonts w:ascii="仿宋_GB2312" w:eastAsia="仿宋_GB2312"/>
          <w:sz w:val="32"/>
          <w:szCs w:val="32"/>
        </w:rPr>
        <w:t>基础分值设定为</w:t>
      </w:r>
      <w:r>
        <w:rPr>
          <w:rFonts w:hint="eastAsia" w:ascii="仿宋_GB2312" w:eastAsia="仿宋_GB2312"/>
          <w:sz w:val="32"/>
          <w:szCs w:val="32"/>
        </w:rPr>
        <w:t>2分</w:t>
      </w:r>
      <w:r>
        <w:rPr>
          <w:rFonts w:ascii="仿宋_GB2312" w:eastAsia="仿宋_GB2312"/>
          <w:sz w:val="32"/>
          <w:szCs w:val="32"/>
        </w:rPr>
        <w:t>，考核达标分数设定为</w:t>
      </w:r>
      <w:r>
        <w:rPr>
          <w:rFonts w:hint="eastAsia" w:ascii="仿宋_GB2312" w:eastAsia="仿宋_GB2312"/>
          <w:sz w:val="32"/>
          <w:szCs w:val="32"/>
        </w:rPr>
        <w:t>85分</w:t>
      </w:r>
      <w:r>
        <w:rPr>
          <w:rFonts w:ascii="仿宋_GB2312" w:eastAsia="仿宋_GB2312"/>
          <w:sz w:val="32"/>
          <w:szCs w:val="32"/>
        </w:rPr>
        <w:t>。</w:t>
      </w:r>
      <w:r>
        <w:rPr>
          <w:rFonts w:hint="eastAsia" w:ascii="仿宋_GB2312" w:eastAsia="仿宋_GB2312"/>
          <w:sz w:val="32"/>
          <w:szCs w:val="32"/>
        </w:rPr>
        <w:t>各院应当在司法信息公开网站中完善审务信息公开、审判流程公开、庭审活动公开、裁判文书公开、执行信息公开、</w:t>
      </w:r>
      <w:r>
        <w:rPr>
          <w:rFonts w:ascii="仿宋_GB2312" w:eastAsia="仿宋_GB2312"/>
          <w:sz w:val="32"/>
          <w:szCs w:val="32"/>
        </w:rPr>
        <w:t>司法辅助公开</w:t>
      </w:r>
      <w:r>
        <w:rPr>
          <w:rFonts w:hint="eastAsia" w:ascii="仿宋_GB2312" w:eastAsia="仿宋_GB2312"/>
          <w:sz w:val="32"/>
          <w:szCs w:val="32"/>
        </w:rPr>
        <w:t>等信息，年末省法院制定发布司法透明度测评方案对201</w:t>
      </w:r>
      <w:r>
        <w:rPr>
          <w:rFonts w:ascii="仿宋_GB2312" w:eastAsia="仿宋_GB2312"/>
          <w:sz w:val="32"/>
          <w:szCs w:val="32"/>
        </w:rPr>
        <w:t>9</w:t>
      </w:r>
      <w:r>
        <w:rPr>
          <w:rFonts w:hint="eastAsia" w:ascii="仿宋_GB2312" w:eastAsia="仿宋_GB2312"/>
          <w:sz w:val="32"/>
          <w:szCs w:val="32"/>
        </w:rPr>
        <w:t>年司法公开工作情况进行考核，达到达标分数的得2分，达不到达标分数的予以减分，每低于达标分数0.5分的减0.1分，减分以2分为限。</w:t>
      </w:r>
      <w:r>
        <w:rPr>
          <w:rFonts w:hint="eastAsia" w:ascii="黑体" w:hAnsi="黑体" w:eastAsia="黑体"/>
          <w:sz w:val="32"/>
          <w:szCs w:val="32"/>
        </w:rPr>
        <w:t>该工作我院已经落实并实际开展，该项由中院按年度考核。</w:t>
      </w:r>
    </w:p>
    <w:p>
      <w:pPr>
        <w:ind w:firstLine="643" w:firstLineChars="200"/>
        <w:outlineLvl w:val="1"/>
        <w:rPr>
          <w:rFonts w:ascii="仿宋_GB2312" w:eastAsia="仿宋_GB2312"/>
          <w:b/>
          <w:sz w:val="32"/>
          <w:szCs w:val="32"/>
        </w:rPr>
      </w:pPr>
      <w:r>
        <w:rPr>
          <w:rFonts w:hint="eastAsia" w:ascii="仿宋_GB2312" w:eastAsia="仿宋_GB2312"/>
          <w:b/>
          <w:sz w:val="32"/>
          <w:szCs w:val="32"/>
        </w:rPr>
        <w:t>（十八）卷宗归档率指标（2分）</w:t>
      </w:r>
    </w:p>
    <w:p>
      <w:pPr>
        <w:ind w:firstLine="640" w:firstLineChars="200"/>
        <w:rPr>
          <w:rFonts w:ascii="仿宋_GB2312" w:eastAsia="仿宋_GB2312"/>
          <w:sz w:val="32"/>
          <w:szCs w:val="32"/>
        </w:rPr>
      </w:pPr>
      <w:r>
        <w:rPr>
          <w:rFonts w:hint="eastAsia" w:ascii="仿宋_GB2312" w:eastAsia="仿宋_GB2312"/>
          <w:sz w:val="32"/>
          <w:szCs w:val="32"/>
        </w:rPr>
        <w:t>用于考核卷宗归档及时性，已结案件纸质</w:t>
      </w:r>
      <w:r>
        <w:rPr>
          <w:rFonts w:ascii="仿宋_GB2312" w:eastAsia="仿宋_GB2312"/>
          <w:sz w:val="32"/>
          <w:szCs w:val="32"/>
        </w:rPr>
        <w:t>档案</w:t>
      </w:r>
      <w:r>
        <w:rPr>
          <w:rFonts w:hint="eastAsia" w:ascii="仿宋_GB2312" w:eastAsia="仿宋_GB2312"/>
          <w:sz w:val="32"/>
          <w:szCs w:val="32"/>
        </w:rPr>
        <w:t>和</w:t>
      </w:r>
      <w:r>
        <w:rPr>
          <w:rFonts w:ascii="仿宋_GB2312" w:eastAsia="仿宋_GB2312"/>
          <w:sz w:val="32"/>
          <w:szCs w:val="32"/>
        </w:rPr>
        <w:t>电子档案</w:t>
      </w:r>
      <w:r>
        <w:rPr>
          <w:rFonts w:hint="eastAsia" w:ascii="仿宋_GB2312" w:eastAsia="仿宋_GB2312"/>
          <w:sz w:val="32"/>
          <w:szCs w:val="32"/>
        </w:rPr>
        <w:t>应</w:t>
      </w:r>
      <w:r>
        <w:rPr>
          <w:rFonts w:ascii="仿宋_GB2312" w:eastAsia="仿宋_GB2312"/>
          <w:sz w:val="32"/>
          <w:szCs w:val="32"/>
        </w:rPr>
        <w:t>同步归档，</w:t>
      </w:r>
      <w:r>
        <w:rPr>
          <w:rFonts w:hint="eastAsia" w:ascii="仿宋_GB2312" w:eastAsia="仿宋_GB2312"/>
          <w:sz w:val="32"/>
          <w:szCs w:val="32"/>
        </w:rPr>
        <w:t>在1个月内均应归档完毕。</w:t>
      </w:r>
    </w:p>
    <w:p>
      <w:pPr>
        <w:ind w:firstLine="640" w:firstLineChars="200"/>
        <w:rPr>
          <w:rFonts w:ascii="仿宋_GB2312" w:eastAsia="仿宋_GB2312"/>
          <w:sz w:val="32"/>
          <w:szCs w:val="32"/>
        </w:rPr>
      </w:pPr>
      <w:r>
        <w:rPr>
          <w:rFonts w:hint="eastAsia" w:ascii="仿宋_GB2312" w:eastAsia="仿宋_GB2312"/>
          <w:sz w:val="32"/>
          <w:szCs w:val="32"/>
        </w:rPr>
        <w:t>上半年对卷宗归档率考核的基础分值为1分，考核2018年12月1日至2019年5月31日期间审结案件的卷宗归档情况，至考核时间节点未完成归档的案件，每1件</w:t>
      </w:r>
      <w:r>
        <w:rPr>
          <w:rFonts w:ascii="仿宋_GB2312" w:eastAsia="仿宋_GB2312"/>
          <w:sz w:val="32"/>
          <w:szCs w:val="32"/>
        </w:rPr>
        <w:t>减</w:t>
      </w:r>
      <w:r>
        <w:rPr>
          <w:rFonts w:hint="eastAsia" w:ascii="仿宋_GB2312" w:eastAsia="仿宋_GB2312"/>
          <w:sz w:val="32"/>
          <w:szCs w:val="32"/>
        </w:rPr>
        <w:t>0.01分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w:t>
      </w:r>
    </w:p>
    <w:p>
      <w:pPr>
        <w:ind w:firstLine="640" w:firstLineChars="200"/>
        <w:rPr>
          <w:rFonts w:ascii="仿宋_GB2312" w:eastAsia="仿宋_GB2312"/>
          <w:sz w:val="32"/>
          <w:szCs w:val="32"/>
        </w:rPr>
      </w:pPr>
      <w:r>
        <w:rPr>
          <w:rFonts w:hint="eastAsia" w:ascii="仿宋_GB2312" w:eastAsia="仿宋_GB2312"/>
          <w:sz w:val="32"/>
          <w:szCs w:val="32"/>
        </w:rPr>
        <w:t>年度卷宗</w:t>
      </w:r>
      <w:r>
        <w:rPr>
          <w:rFonts w:ascii="仿宋_GB2312" w:eastAsia="仿宋_GB2312"/>
          <w:sz w:val="32"/>
          <w:szCs w:val="32"/>
        </w:rPr>
        <w:t>归档率考核的基础分值设定为</w:t>
      </w:r>
      <w:r>
        <w:rPr>
          <w:rFonts w:hint="eastAsia" w:ascii="仿宋_GB2312" w:eastAsia="仿宋_GB2312"/>
          <w:sz w:val="32"/>
          <w:szCs w:val="32"/>
        </w:rPr>
        <w:t>1分</w:t>
      </w:r>
      <w:r>
        <w:rPr>
          <w:rFonts w:ascii="仿宋_GB2312" w:eastAsia="仿宋_GB2312"/>
          <w:sz w:val="32"/>
          <w:szCs w:val="32"/>
        </w:rPr>
        <w:t>，</w:t>
      </w:r>
      <w:r>
        <w:rPr>
          <w:rFonts w:hint="eastAsia" w:ascii="仿宋_GB2312" w:eastAsia="仿宋_GB2312"/>
          <w:sz w:val="32"/>
          <w:szCs w:val="32"/>
        </w:rPr>
        <w:t>考核2019年6月1日至2019年11月30日</w:t>
      </w:r>
      <w:r>
        <w:rPr>
          <w:rFonts w:ascii="仿宋_GB2312" w:eastAsia="仿宋_GB2312"/>
          <w:sz w:val="32"/>
          <w:szCs w:val="32"/>
        </w:rPr>
        <w:t>期间审结案件的卷宗归档情况，</w:t>
      </w:r>
      <w:r>
        <w:rPr>
          <w:rFonts w:hint="eastAsia" w:ascii="仿宋_GB2312" w:eastAsia="仿宋_GB2312"/>
          <w:sz w:val="32"/>
          <w:szCs w:val="32"/>
        </w:rPr>
        <w:t>至考核时间节点未完成归档的案件，每1件</w:t>
      </w:r>
      <w:r>
        <w:rPr>
          <w:rFonts w:ascii="仿宋_GB2312" w:eastAsia="仿宋_GB2312"/>
          <w:sz w:val="32"/>
          <w:szCs w:val="32"/>
        </w:rPr>
        <w:t>减</w:t>
      </w:r>
      <w:r>
        <w:rPr>
          <w:rFonts w:hint="eastAsia" w:ascii="仿宋_GB2312" w:eastAsia="仿宋_GB2312"/>
          <w:sz w:val="32"/>
          <w:szCs w:val="32"/>
        </w:rPr>
        <w:t>0.01分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w:t>
      </w:r>
    </w:p>
    <w:p>
      <w:pPr>
        <w:ind w:firstLine="640" w:firstLineChars="200"/>
        <w:rPr>
          <w:rFonts w:ascii="黑体" w:hAnsi="黑体" w:eastAsia="黑体"/>
          <w:sz w:val="32"/>
          <w:szCs w:val="32"/>
        </w:rPr>
      </w:pP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我院案件卷宗结案后1个月内已全部归档，电子卷宗挂接率为100%，应</w:t>
      </w:r>
      <w:r>
        <w:rPr>
          <w:rFonts w:ascii="黑体" w:hAnsi="黑体" w:eastAsia="黑体"/>
          <w:sz w:val="32"/>
          <w:szCs w:val="32"/>
        </w:rPr>
        <w:t>继续保持。</w:t>
      </w:r>
    </w:p>
    <w:tbl>
      <w:tblPr>
        <w:tblStyle w:val="16"/>
        <w:tblW w:w="8449" w:type="dxa"/>
        <w:jc w:val="center"/>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2979"/>
        <w:gridCol w:w="2292"/>
        <w:gridCol w:w="1204"/>
        <w:gridCol w:w="1266"/>
      </w:tblGrid>
      <w:tr>
        <w:tblPrEx>
          <w:tblBorders>
            <w:top w:val="single" w:color="4BACC6" w:themeColor="accent5" w:sz="4" w:space="0"/>
            <w:left w:val="single" w:color="4BACC6" w:themeColor="accent5" w:sz="4" w:space="0"/>
            <w:bottom w:val="single" w:color="4BACC6" w:themeColor="accent5" w:sz="4" w:space="0"/>
            <w:right w:val="single" w:color="4BACC6" w:themeColor="accent5"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08" w:type="dxa"/>
            <w:tcBorders>
              <w:top w:val="single" w:color="4BACC6" w:themeColor="accent5" w:sz="4" w:space="0"/>
              <w:bottom w:val="single" w:color="4BACC6" w:themeColor="accent5" w:sz="4" w:space="0"/>
              <w:right w:val="nil"/>
            </w:tcBorders>
            <w:shd w:val="clear" w:color="auto" w:fill="C1FFFF"/>
          </w:tcPr>
          <w:p>
            <w:pPr>
              <w:jc w:val="center"/>
              <w:rPr>
                <w:rFonts w:ascii="仿宋_GB2312" w:hAnsi="黑体" w:eastAsia="仿宋_GB2312"/>
                <w:b/>
                <w:bCs/>
                <w:color w:val="FFFFFF" w:themeColor="background1"/>
                <w:szCs w:val="21"/>
                <w14:textFill>
                  <w14:solidFill>
                    <w14:schemeClr w14:val="bg1"/>
                  </w14:solidFill>
                </w14:textFill>
              </w:rPr>
            </w:pPr>
            <w:r>
              <w:rPr>
                <w:rFonts w:hint="eastAsia" w:ascii="仿宋_GB2312" w:hAnsi="黑体" w:eastAsia="仿宋_GB2312"/>
                <w:b w:val="0"/>
                <w:bCs w:val="0"/>
                <w:color w:val="auto"/>
                <w:szCs w:val="21"/>
              </w:rPr>
              <w:t>序号</w:t>
            </w:r>
          </w:p>
        </w:tc>
        <w:tc>
          <w:tcPr>
            <w:tcW w:w="2979" w:type="dxa"/>
            <w:tcBorders>
              <w:top w:val="single" w:color="4BACC6" w:themeColor="accent5" w:sz="4" w:space="0"/>
              <w:bottom w:val="single" w:color="4BACC6" w:themeColor="accent5" w:sz="4" w:space="0"/>
            </w:tcBorders>
            <w:shd w:val="clear" w:color="auto" w:fill="C1FFFF"/>
          </w:tcPr>
          <w:p>
            <w:pPr>
              <w:jc w:val="center"/>
              <w:rPr>
                <w:rFonts w:ascii="仿宋_GB2312" w:hAnsi="黑体" w:eastAsia="仿宋_GB2312"/>
                <w:b/>
                <w:bCs/>
                <w:color w:val="FFFFFF" w:themeColor="background1"/>
                <w:szCs w:val="21"/>
                <w14:textFill>
                  <w14:solidFill>
                    <w14:schemeClr w14:val="bg1"/>
                  </w14:solidFill>
                </w14:textFill>
              </w:rPr>
            </w:pPr>
            <w:r>
              <w:rPr>
                <w:rFonts w:hint="eastAsia" w:ascii="仿宋_GB2312" w:hAnsi="黑体" w:eastAsia="仿宋_GB2312"/>
                <w:b w:val="0"/>
                <w:bCs w:val="0"/>
                <w:color w:val="auto"/>
                <w:szCs w:val="21"/>
              </w:rPr>
              <w:t>案号</w:t>
            </w:r>
          </w:p>
        </w:tc>
        <w:tc>
          <w:tcPr>
            <w:tcW w:w="2292" w:type="dxa"/>
            <w:tcBorders>
              <w:top w:val="single" w:color="4BACC6" w:themeColor="accent5" w:sz="4" w:space="0"/>
              <w:bottom w:val="single" w:color="4BACC6" w:themeColor="accent5" w:sz="4" w:space="0"/>
            </w:tcBorders>
            <w:shd w:val="clear" w:color="auto" w:fill="C1FFFF"/>
          </w:tcPr>
          <w:p>
            <w:pPr>
              <w:jc w:val="center"/>
              <w:rPr>
                <w:rFonts w:ascii="仿宋_GB2312" w:hAnsi="黑体" w:eastAsia="仿宋_GB2312"/>
                <w:b/>
                <w:bCs/>
                <w:color w:val="FFFFFF" w:themeColor="background1"/>
                <w:szCs w:val="21"/>
                <w14:textFill>
                  <w14:solidFill>
                    <w14:schemeClr w14:val="bg1"/>
                  </w14:solidFill>
                </w14:textFill>
              </w:rPr>
            </w:pPr>
            <w:r>
              <w:rPr>
                <w:rFonts w:hint="eastAsia" w:ascii="仿宋_GB2312" w:hAnsi="黑体" w:eastAsia="仿宋_GB2312"/>
                <w:b w:val="0"/>
                <w:bCs w:val="0"/>
                <w:color w:val="auto"/>
                <w:szCs w:val="21"/>
              </w:rPr>
              <w:t>案件名称</w:t>
            </w:r>
          </w:p>
        </w:tc>
        <w:tc>
          <w:tcPr>
            <w:tcW w:w="1204" w:type="dxa"/>
            <w:tcBorders>
              <w:top w:val="single" w:color="4BACC6" w:themeColor="accent5" w:sz="4" w:space="0"/>
              <w:bottom w:val="single" w:color="4BACC6" w:themeColor="accent5" w:sz="4" w:space="0"/>
            </w:tcBorders>
            <w:shd w:val="clear" w:color="auto" w:fill="C1FFFF"/>
          </w:tcPr>
          <w:p>
            <w:pPr>
              <w:jc w:val="center"/>
              <w:rPr>
                <w:rFonts w:ascii="仿宋_GB2312" w:hAnsi="黑体" w:eastAsia="仿宋_GB2312"/>
                <w:b/>
                <w:bCs/>
                <w:color w:val="FFFFFF" w:themeColor="background1"/>
                <w:szCs w:val="21"/>
                <w14:textFill>
                  <w14:solidFill>
                    <w14:schemeClr w14:val="bg1"/>
                  </w14:solidFill>
                </w14:textFill>
              </w:rPr>
            </w:pPr>
            <w:r>
              <w:rPr>
                <w:rFonts w:hint="eastAsia" w:ascii="仿宋_GB2312" w:hAnsi="黑体" w:eastAsia="仿宋_GB2312"/>
                <w:b w:val="0"/>
                <w:bCs w:val="0"/>
                <w:color w:val="auto"/>
                <w:szCs w:val="21"/>
              </w:rPr>
              <w:t>承办法官</w:t>
            </w:r>
          </w:p>
        </w:tc>
        <w:tc>
          <w:tcPr>
            <w:tcW w:w="1266" w:type="dxa"/>
            <w:tcBorders>
              <w:top w:val="single" w:color="4BACC6" w:themeColor="accent5" w:sz="4" w:space="0"/>
              <w:bottom w:val="single" w:color="4BACC6" w:themeColor="accent5" w:sz="4" w:space="0"/>
            </w:tcBorders>
            <w:shd w:val="clear" w:color="auto" w:fill="C1FFFF"/>
          </w:tcPr>
          <w:p>
            <w:pPr>
              <w:jc w:val="center"/>
              <w:rPr>
                <w:rFonts w:ascii="仿宋_GB2312" w:hAnsi="黑体" w:eastAsia="仿宋_GB2312"/>
                <w:b/>
                <w:bCs/>
                <w:color w:val="FFFFFF" w:themeColor="background1"/>
                <w:szCs w:val="21"/>
                <w14:textFill>
                  <w14:solidFill>
                    <w14:schemeClr w14:val="bg1"/>
                  </w14:solidFill>
                </w14:textFill>
              </w:rPr>
            </w:pPr>
            <w:r>
              <w:rPr>
                <w:rFonts w:hint="eastAsia" w:ascii="仿宋_GB2312" w:hAnsi="黑体" w:eastAsia="仿宋_GB2312"/>
                <w:b w:val="0"/>
                <w:bCs w:val="0"/>
                <w:color w:val="auto"/>
                <w:szCs w:val="21"/>
              </w:rPr>
              <w:t>结案时间</w:t>
            </w:r>
          </w:p>
        </w:tc>
      </w:tr>
      <w:tr>
        <w:tblPrEx>
          <w:tblBorders>
            <w:top w:val="single" w:color="4BACC6" w:themeColor="accent5" w:sz="4" w:space="0"/>
            <w:left w:val="single" w:color="4BACC6" w:themeColor="accent5" w:sz="4" w:space="0"/>
            <w:bottom w:val="single" w:color="4BACC6" w:themeColor="accent5" w:sz="4" w:space="0"/>
            <w:right w:val="single" w:color="4BACC6" w:themeColor="accent5"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08" w:type="dxa"/>
            <w:tcBorders>
              <w:top w:val="single" w:color="4BACC6" w:themeColor="accent5" w:sz="4" w:space="0"/>
              <w:bottom w:val="single" w:color="4BACC6" w:themeColor="accent5" w:sz="4" w:space="0"/>
              <w:right w:val="nil"/>
              <w:insideV w:val="nil"/>
            </w:tcBorders>
            <w:shd w:val="clear" w:color="auto" w:fill="FFFFFF" w:themeFill="background1"/>
          </w:tcPr>
          <w:p>
            <w:pPr>
              <w:jc w:val="center"/>
              <w:rPr>
                <w:rFonts w:ascii="仿宋_GB2312" w:hAnsi="黑体" w:eastAsia="仿宋_GB2312"/>
                <w:b/>
                <w:bCs/>
                <w:szCs w:val="21"/>
              </w:rPr>
            </w:pPr>
            <w:r>
              <w:rPr>
                <w:rFonts w:hint="eastAsia" w:ascii="仿宋_GB2312" w:hAnsi="黑体" w:eastAsia="仿宋_GB2312"/>
                <w:b w:val="0"/>
                <w:bCs w:val="0"/>
                <w:szCs w:val="21"/>
              </w:rPr>
              <w:t>1</w:t>
            </w:r>
          </w:p>
        </w:tc>
        <w:tc>
          <w:tcPr>
            <w:tcW w:w="2979" w:type="dxa"/>
            <w:tcBorders>
              <w:top w:val="single" w:color="4BACC6" w:themeColor="accent5" w:sz="4" w:space="0"/>
              <w:bottom w:val="single" w:color="4BACC6" w:themeColor="accent5" w:sz="4" w:space="0"/>
            </w:tcBorders>
          </w:tcPr>
          <w:p>
            <w:pPr>
              <w:jc w:val="center"/>
              <w:rPr>
                <w:rFonts w:ascii="仿宋_GB2312" w:hAnsi="黑体" w:eastAsia="仿宋_GB2312"/>
                <w:szCs w:val="21"/>
              </w:rPr>
            </w:pPr>
          </w:p>
        </w:tc>
        <w:tc>
          <w:tcPr>
            <w:tcW w:w="2292" w:type="dxa"/>
            <w:tcBorders>
              <w:top w:val="single" w:color="4BACC6" w:themeColor="accent5" w:sz="4" w:space="0"/>
              <w:bottom w:val="single" w:color="4BACC6" w:themeColor="accent5" w:sz="4" w:space="0"/>
            </w:tcBorders>
          </w:tcPr>
          <w:p>
            <w:pPr>
              <w:jc w:val="center"/>
              <w:rPr>
                <w:rFonts w:ascii="仿宋_GB2312" w:hAnsi="黑体" w:eastAsia="仿宋_GB2312"/>
                <w:szCs w:val="21"/>
              </w:rPr>
            </w:pPr>
          </w:p>
        </w:tc>
        <w:tc>
          <w:tcPr>
            <w:tcW w:w="1204" w:type="dxa"/>
            <w:tcBorders>
              <w:top w:val="single" w:color="4BACC6" w:themeColor="accent5" w:sz="4" w:space="0"/>
              <w:bottom w:val="single" w:color="4BACC6" w:themeColor="accent5" w:sz="4" w:space="0"/>
            </w:tcBorders>
          </w:tcPr>
          <w:p>
            <w:pPr>
              <w:jc w:val="center"/>
              <w:rPr>
                <w:rFonts w:ascii="仿宋_GB2312" w:hAnsi="黑体" w:eastAsia="仿宋_GB2312"/>
                <w:szCs w:val="21"/>
              </w:rPr>
            </w:pPr>
          </w:p>
        </w:tc>
        <w:tc>
          <w:tcPr>
            <w:tcW w:w="1266" w:type="dxa"/>
            <w:tcBorders>
              <w:top w:val="single" w:color="4BACC6" w:themeColor="accent5" w:sz="4" w:space="0"/>
              <w:bottom w:val="single" w:color="4BACC6" w:themeColor="accent5" w:sz="4" w:space="0"/>
            </w:tcBorders>
          </w:tcPr>
          <w:p>
            <w:pPr>
              <w:jc w:val="center"/>
              <w:rPr>
                <w:rFonts w:ascii="仿宋_GB2312" w:hAnsi="黑体" w:eastAsia="仿宋_GB2312"/>
                <w:szCs w:val="21"/>
              </w:rPr>
            </w:pPr>
          </w:p>
        </w:tc>
      </w:tr>
      <w:tr>
        <w:tblPrEx>
          <w:tblBorders>
            <w:top w:val="single" w:color="4BACC6" w:themeColor="accent5" w:sz="4" w:space="0"/>
            <w:left w:val="single" w:color="4BACC6" w:themeColor="accent5" w:sz="4" w:space="0"/>
            <w:bottom w:val="single" w:color="4BACC6" w:themeColor="accent5" w:sz="4" w:space="0"/>
            <w:right w:val="single" w:color="4BACC6" w:themeColor="accent5"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08" w:type="dxa"/>
            <w:tcBorders>
              <w:right w:val="nil"/>
              <w:insideV w:val="nil"/>
            </w:tcBorders>
            <w:shd w:val="clear" w:color="auto" w:fill="FFFFFF" w:themeFill="background1"/>
          </w:tcPr>
          <w:p>
            <w:pPr>
              <w:jc w:val="center"/>
              <w:rPr>
                <w:rFonts w:ascii="仿宋_GB2312" w:hAnsi="黑体" w:eastAsia="仿宋_GB2312"/>
                <w:b/>
                <w:bCs/>
                <w:szCs w:val="21"/>
              </w:rPr>
            </w:pPr>
            <w:r>
              <w:rPr>
                <w:rFonts w:hint="eastAsia" w:ascii="仿宋_GB2312" w:hAnsi="黑体" w:eastAsia="仿宋_GB2312"/>
                <w:b w:val="0"/>
                <w:bCs w:val="0"/>
                <w:szCs w:val="21"/>
              </w:rPr>
              <w:t>2</w:t>
            </w:r>
          </w:p>
        </w:tc>
        <w:tc>
          <w:tcPr>
            <w:tcW w:w="2979" w:type="dxa"/>
          </w:tcPr>
          <w:p>
            <w:pPr>
              <w:jc w:val="center"/>
              <w:rPr>
                <w:rFonts w:ascii="仿宋_GB2312" w:hAnsi="黑体" w:eastAsia="仿宋_GB2312"/>
                <w:szCs w:val="21"/>
              </w:rPr>
            </w:pPr>
          </w:p>
        </w:tc>
        <w:tc>
          <w:tcPr>
            <w:tcW w:w="2292" w:type="dxa"/>
          </w:tcPr>
          <w:p>
            <w:pPr>
              <w:jc w:val="center"/>
              <w:rPr>
                <w:rFonts w:ascii="仿宋_GB2312" w:hAnsi="黑体" w:eastAsia="仿宋_GB2312"/>
                <w:szCs w:val="21"/>
              </w:rPr>
            </w:pPr>
          </w:p>
        </w:tc>
        <w:tc>
          <w:tcPr>
            <w:tcW w:w="1204" w:type="dxa"/>
          </w:tcPr>
          <w:p>
            <w:pPr>
              <w:jc w:val="center"/>
              <w:rPr>
                <w:rFonts w:ascii="仿宋_GB2312" w:hAnsi="黑体" w:eastAsia="仿宋_GB2312"/>
                <w:szCs w:val="21"/>
              </w:rPr>
            </w:pPr>
          </w:p>
        </w:tc>
        <w:tc>
          <w:tcPr>
            <w:tcW w:w="1266" w:type="dxa"/>
          </w:tcPr>
          <w:p>
            <w:pPr>
              <w:jc w:val="center"/>
              <w:rPr>
                <w:rFonts w:ascii="仿宋_GB2312" w:hAnsi="黑体" w:eastAsia="仿宋_GB2312"/>
                <w:szCs w:val="21"/>
              </w:rPr>
            </w:pPr>
          </w:p>
        </w:tc>
      </w:tr>
      <w:tr>
        <w:tblPrEx>
          <w:tblBorders>
            <w:top w:val="single" w:color="4BACC6" w:themeColor="accent5" w:sz="4" w:space="0"/>
            <w:left w:val="single" w:color="4BACC6" w:themeColor="accent5" w:sz="4" w:space="0"/>
            <w:bottom w:val="single" w:color="4BACC6" w:themeColor="accent5" w:sz="4" w:space="0"/>
            <w:right w:val="single" w:color="4BACC6" w:themeColor="accent5"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08" w:type="dxa"/>
            <w:tcBorders>
              <w:top w:val="single" w:color="4BACC6" w:themeColor="accent5" w:sz="4" w:space="0"/>
              <w:bottom w:val="single" w:color="4BACC6" w:themeColor="accent5" w:sz="4" w:space="0"/>
              <w:right w:val="nil"/>
              <w:insideV w:val="nil"/>
            </w:tcBorders>
            <w:shd w:val="clear" w:color="auto" w:fill="FFFFFF" w:themeFill="background1"/>
          </w:tcPr>
          <w:p>
            <w:pPr>
              <w:jc w:val="center"/>
              <w:rPr>
                <w:rFonts w:ascii="仿宋_GB2312" w:hAnsi="黑体" w:eastAsia="仿宋_GB2312"/>
                <w:b/>
                <w:bCs/>
                <w:szCs w:val="21"/>
              </w:rPr>
            </w:pPr>
            <w:r>
              <w:rPr>
                <w:rFonts w:hint="eastAsia" w:ascii="仿宋_GB2312" w:hAnsi="黑体" w:eastAsia="仿宋_GB2312"/>
                <w:b w:val="0"/>
                <w:bCs w:val="0"/>
                <w:szCs w:val="21"/>
              </w:rPr>
              <w:t>3</w:t>
            </w:r>
          </w:p>
        </w:tc>
        <w:tc>
          <w:tcPr>
            <w:tcW w:w="2979" w:type="dxa"/>
            <w:tcBorders>
              <w:top w:val="single" w:color="4BACC6" w:themeColor="accent5" w:sz="4" w:space="0"/>
              <w:bottom w:val="single" w:color="4BACC6" w:themeColor="accent5" w:sz="4" w:space="0"/>
            </w:tcBorders>
          </w:tcPr>
          <w:p>
            <w:pPr>
              <w:jc w:val="center"/>
              <w:rPr>
                <w:rFonts w:ascii="仿宋_GB2312" w:hAnsi="黑体" w:eastAsia="仿宋_GB2312"/>
                <w:szCs w:val="21"/>
              </w:rPr>
            </w:pPr>
          </w:p>
        </w:tc>
        <w:tc>
          <w:tcPr>
            <w:tcW w:w="2292" w:type="dxa"/>
            <w:tcBorders>
              <w:top w:val="single" w:color="4BACC6" w:themeColor="accent5" w:sz="4" w:space="0"/>
              <w:bottom w:val="single" w:color="4BACC6" w:themeColor="accent5" w:sz="4" w:space="0"/>
            </w:tcBorders>
          </w:tcPr>
          <w:p>
            <w:pPr>
              <w:jc w:val="center"/>
              <w:rPr>
                <w:rFonts w:ascii="仿宋_GB2312" w:hAnsi="黑体" w:eastAsia="仿宋_GB2312"/>
                <w:szCs w:val="21"/>
              </w:rPr>
            </w:pPr>
          </w:p>
        </w:tc>
        <w:tc>
          <w:tcPr>
            <w:tcW w:w="1204" w:type="dxa"/>
            <w:tcBorders>
              <w:top w:val="single" w:color="4BACC6" w:themeColor="accent5" w:sz="4" w:space="0"/>
              <w:bottom w:val="single" w:color="4BACC6" w:themeColor="accent5" w:sz="4" w:space="0"/>
            </w:tcBorders>
          </w:tcPr>
          <w:p>
            <w:pPr>
              <w:jc w:val="center"/>
              <w:rPr>
                <w:rFonts w:ascii="仿宋_GB2312" w:hAnsi="黑体" w:eastAsia="仿宋_GB2312"/>
                <w:szCs w:val="21"/>
              </w:rPr>
            </w:pPr>
          </w:p>
        </w:tc>
        <w:tc>
          <w:tcPr>
            <w:tcW w:w="1266" w:type="dxa"/>
            <w:tcBorders>
              <w:top w:val="single" w:color="4BACC6" w:themeColor="accent5" w:sz="4" w:space="0"/>
              <w:bottom w:val="single" w:color="4BACC6" w:themeColor="accent5" w:sz="4" w:space="0"/>
            </w:tcBorders>
          </w:tcPr>
          <w:p>
            <w:pPr>
              <w:jc w:val="center"/>
              <w:rPr>
                <w:rFonts w:ascii="仿宋_GB2312" w:hAnsi="黑体" w:eastAsia="仿宋_GB2312"/>
                <w:szCs w:val="21"/>
              </w:rPr>
            </w:pPr>
          </w:p>
        </w:tc>
      </w:tr>
    </w:tbl>
    <w:p>
      <w:pPr>
        <w:ind w:firstLine="643" w:firstLineChars="200"/>
        <w:outlineLvl w:val="1"/>
        <w:rPr>
          <w:rFonts w:ascii="仿宋_GB2312" w:eastAsia="仿宋_GB2312"/>
          <w:b/>
          <w:sz w:val="32"/>
          <w:szCs w:val="32"/>
        </w:rPr>
      </w:pPr>
      <w:r>
        <w:rPr>
          <w:rFonts w:hint="eastAsia" w:ascii="仿宋_GB2312" w:eastAsia="仿宋_GB2312"/>
          <w:b/>
          <w:sz w:val="32"/>
          <w:szCs w:val="32"/>
        </w:rPr>
        <w:t>（十九）电子卷宗随案同步生成及</w:t>
      </w:r>
      <w:r>
        <w:rPr>
          <w:rFonts w:ascii="仿宋_GB2312" w:eastAsia="仿宋_GB2312"/>
          <w:b/>
          <w:sz w:val="32"/>
          <w:szCs w:val="32"/>
        </w:rPr>
        <w:t>深度应用工作</w:t>
      </w:r>
      <w:r>
        <w:rPr>
          <w:rFonts w:hint="eastAsia" w:ascii="仿宋_GB2312" w:eastAsia="仿宋_GB2312"/>
          <w:b/>
          <w:sz w:val="32"/>
          <w:szCs w:val="32"/>
        </w:rPr>
        <w:t>指标（4分）</w:t>
      </w:r>
    </w:p>
    <w:p>
      <w:pPr>
        <w:ind w:firstLine="640" w:firstLineChars="200"/>
        <w:rPr>
          <w:rFonts w:ascii="仿宋_GB2312" w:eastAsia="仿宋_GB2312"/>
          <w:sz w:val="32"/>
          <w:szCs w:val="32"/>
        </w:rPr>
      </w:pPr>
      <w:r>
        <w:rPr>
          <w:rFonts w:hint="eastAsia" w:ascii="仿宋_GB2312" w:eastAsia="仿宋_GB2312"/>
          <w:sz w:val="32"/>
          <w:szCs w:val="32"/>
        </w:rPr>
        <w:t>用于考核</w:t>
      </w:r>
      <w:r>
        <w:rPr>
          <w:rFonts w:ascii="仿宋_GB2312" w:eastAsia="仿宋_GB2312"/>
          <w:sz w:val="32"/>
          <w:szCs w:val="32"/>
        </w:rPr>
        <w:t>电子卷宗随案同步生成</w:t>
      </w:r>
      <w:r>
        <w:rPr>
          <w:rFonts w:hint="eastAsia" w:ascii="仿宋_GB2312" w:eastAsia="仿宋_GB2312"/>
          <w:sz w:val="32"/>
          <w:szCs w:val="32"/>
        </w:rPr>
        <w:t>及</w:t>
      </w:r>
      <w:r>
        <w:rPr>
          <w:rFonts w:ascii="仿宋_GB2312" w:eastAsia="仿宋_GB2312"/>
          <w:sz w:val="32"/>
          <w:szCs w:val="32"/>
        </w:rPr>
        <w:t>深度应用工作情况，年度内</w:t>
      </w:r>
      <w:r>
        <w:rPr>
          <w:rFonts w:hint="eastAsia" w:ascii="仿宋_GB2312" w:eastAsia="仿宋_GB2312"/>
          <w:sz w:val="32"/>
          <w:szCs w:val="32"/>
        </w:rPr>
        <w:t>根据</w:t>
      </w:r>
      <w:r>
        <w:rPr>
          <w:rFonts w:ascii="仿宋_GB2312" w:eastAsia="仿宋_GB2312"/>
          <w:sz w:val="32"/>
          <w:szCs w:val="32"/>
        </w:rPr>
        <w:t>建设情况动态考核，重点考核最高法院要求的指标</w:t>
      </w:r>
      <w:r>
        <w:rPr>
          <w:rFonts w:hint="eastAsia" w:ascii="仿宋_GB2312" w:eastAsia="仿宋_GB2312"/>
          <w:sz w:val="32"/>
          <w:szCs w:val="32"/>
        </w:rPr>
        <w:t>完成情况</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电子卷宗随案同步生成</w:t>
      </w:r>
      <w:r>
        <w:rPr>
          <w:rFonts w:hint="eastAsia" w:ascii="仿宋_GB2312" w:eastAsia="仿宋_GB2312"/>
          <w:sz w:val="32"/>
          <w:szCs w:val="32"/>
        </w:rPr>
        <w:t>比率应当</w:t>
      </w:r>
      <w:r>
        <w:rPr>
          <w:rFonts w:ascii="仿宋_GB2312" w:eastAsia="仿宋_GB2312"/>
          <w:sz w:val="32"/>
          <w:szCs w:val="32"/>
        </w:rPr>
        <w:t>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为限。同步生成比率</w:t>
      </w:r>
      <w:r>
        <w:rPr>
          <w:rFonts w:hint="eastAsia" w:ascii="仿宋_GB2312" w:eastAsia="仿宋_GB2312"/>
          <w:sz w:val="32"/>
          <w:szCs w:val="32"/>
        </w:rPr>
        <w:t>=</w:t>
      </w:r>
      <w:r>
        <w:rPr>
          <w:rFonts w:ascii="仿宋_GB2312" w:eastAsia="仿宋_GB2312"/>
          <w:sz w:val="32"/>
          <w:szCs w:val="32"/>
        </w:rPr>
        <w:t>立案</w:t>
      </w:r>
      <w:r>
        <w:rPr>
          <w:rFonts w:hint="eastAsia" w:ascii="仿宋_GB2312" w:eastAsia="仿宋_GB2312"/>
          <w:sz w:val="32"/>
          <w:szCs w:val="32"/>
        </w:rPr>
        <w:t>3日</w:t>
      </w:r>
      <w:r>
        <w:rPr>
          <w:rFonts w:ascii="仿宋_GB2312" w:eastAsia="仿宋_GB2312"/>
          <w:sz w:val="32"/>
          <w:szCs w:val="32"/>
        </w:rPr>
        <w:t>内将纸质材料扫描为电子卷宗的诉讼案件数量</w:t>
      </w:r>
      <w:r>
        <w:rPr>
          <w:rFonts w:hint="eastAsia" w:ascii="仿宋_GB2312" w:eastAsia="仿宋_GB2312"/>
          <w:sz w:val="32"/>
          <w:szCs w:val="32"/>
        </w:rPr>
        <w:t>/辖区</w:t>
      </w:r>
      <w:r>
        <w:rPr>
          <w:rFonts w:ascii="仿宋_GB2312" w:eastAsia="仿宋_GB2312"/>
          <w:sz w:val="32"/>
          <w:szCs w:val="32"/>
        </w:rPr>
        <w:t>完成功能建设法院诉讼案件总数。</w:t>
      </w:r>
    </w:p>
    <w:p>
      <w:pPr>
        <w:ind w:left="640"/>
        <w:rPr>
          <w:rFonts w:ascii="仿宋_GB2312" w:eastAsia="仿宋_GB2312"/>
          <w:sz w:val="32"/>
          <w:szCs w:val="32"/>
        </w:rPr>
      </w:pPr>
      <w:r>
        <w:rPr>
          <w:rFonts w:hint="eastAsia" w:ascii="仿宋_GB2312" w:eastAsia="仿宋_GB2312"/>
          <w:sz w:val="32"/>
          <w:szCs w:val="32"/>
        </w:rPr>
        <w:t>2.电子卷宗</w:t>
      </w:r>
      <w:r>
        <w:rPr>
          <w:rFonts w:ascii="仿宋_GB2312" w:eastAsia="仿宋_GB2312"/>
          <w:sz w:val="32"/>
          <w:szCs w:val="32"/>
        </w:rPr>
        <w:t>智能编目比率应当达到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w:t>
      </w:r>
    </w:p>
    <w:p>
      <w:pPr>
        <w:rPr>
          <w:rFonts w:ascii="仿宋_GB2312" w:eastAsia="仿宋_GB2312"/>
          <w:sz w:val="32"/>
          <w:szCs w:val="32"/>
        </w:rPr>
      </w:pPr>
      <w:r>
        <w:rPr>
          <w:rFonts w:ascii="仿宋_GB2312" w:eastAsia="仿宋_GB2312"/>
          <w:sz w:val="32"/>
          <w:szCs w:val="32"/>
        </w:rPr>
        <w:t>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w:t>
      </w:r>
      <w:r>
        <w:rPr>
          <w:rFonts w:hint="eastAsia" w:ascii="仿宋_GB2312" w:eastAsia="仿宋_GB2312"/>
          <w:sz w:val="32"/>
          <w:szCs w:val="32"/>
        </w:rPr>
        <w:t>智能编目</w:t>
      </w:r>
      <w:r>
        <w:rPr>
          <w:rFonts w:ascii="仿宋_GB2312" w:eastAsia="仿宋_GB2312"/>
          <w:sz w:val="32"/>
          <w:szCs w:val="32"/>
        </w:rPr>
        <w:t>比率=通过系统实现电子卷宗自动智能编目的诉讼案件数量</w:t>
      </w:r>
      <w:r>
        <w:rPr>
          <w:rFonts w:hint="eastAsia" w:ascii="仿宋_GB2312" w:eastAsia="仿宋_GB2312"/>
          <w:sz w:val="32"/>
          <w:szCs w:val="32"/>
        </w:rPr>
        <w:t>/辖区</w:t>
      </w:r>
      <w:r>
        <w:rPr>
          <w:rFonts w:ascii="仿宋_GB2312" w:eastAsia="仿宋_GB2312"/>
          <w:sz w:val="32"/>
          <w:szCs w:val="32"/>
        </w:rPr>
        <w:t>完成功能建设法院诉讼案件总数。</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电子卷宗</w:t>
      </w:r>
      <w:r>
        <w:rPr>
          <w:rFonts w:ascii="仿宋_GB2312" w:eastAsia="仿宋_GB2312"/>
          <w:sz w:val="32"/>
          <w:szCs w:val="32"/>
        </w:rPr>
        <w:t>网上阅卷投入应用比率应当达到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w:t>
      </w:r>
      <w:r>
        <w:rPr>
          <w:rFonts w:hint="eastAsia" w:ascii="仿宋_GB2312" w:eastAsia="仿宋_GB2312"/>
          <w:sz w:val="32"/>
          <w:szCs w:val="32"/>
        </w:rPr>
        <w:t>网上阅卷</w:t>
      </w:r>
      <w:r>
        <w:rPr>
          <w:rFonts w:ascii="仿宋_GB2312" w:eastAsia="仿宋_GB2312"/>
          <w:sz w:val="32"/>
          <w:szCs w:val="32"/>
        </w:rPr>
        <w:t>投入应用比率=通过电子卷宗实现</w:t>
      </w:r>
      <w:r>
        <w:rPr>
          <w:rFonts w:hint="eastAsia" w:ascii="仿宋_GB2312" w:eastAsia="仿宋_GB2312"/>
          <w:sz w:val="32"/>
          <w:szCs w:val="32"/>
        </w:rPr>
        <w:t>网上</w:t>
      </w:r>
      <w:r>
        <w:rPr>
          <w:rFonts w:ascii="仿宋_GB2312" w:eastAsia="仿宋_GB2312"/>
          <w:sz w:val="32"/>
          <w:szCs w:val="32"/>
        </w:rPr>
        <w:t>阅卷</w:t>
      </w:r>
      <w:r>
        <w:rPr>
          <w:rFonts w:hint="eastAsia" w:ascii="仿宋_GB2312" w:eastAsia="仿宋_GB2312"/>
          <w:sz w:val="32"/>
          <w:szCs w:val="32"/>
        </w:rPr>
        <w:t>的</w:t>
      </w:r>
      <w:r>
        <w:rPr>
          <w:rFonts w:ascii="仿宋_GB2312" w:eastAsia="仿宋_GB2312"/>
          <w:sz w:val="32"/>
          <w:szCs w:val="32"/>
        </w:rPr>
        <w:t>诉讼案件数量</w:t>
      </w:r>
      <w:r>
        <w:rPr>
          <w:rFonts w:hint="eastAsia" w:ascii="仿宋_GB2312" w:eastAsia="仿宋_GB2312"/>
          <w:sz w:val="32"/>
          <w:szCs w:val="32"/>
        </w:rPr>
        <w:t>/辖区</w:t>
      </w:r>
      <w:r>
        <w:rPr>
          <w:rFonts w:ascii="仿宋_GB2312" w:eastAsia="仿宋_GB2312"/>
          <w:sz w:val="32"/>
          <w:szCs w:val="32"/>
        </w:rPr>
        <w:t>完成功能建设法院诉讼案件总数。</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 xml:space="preserve"> 电子卷宗文书</w:t>
      </w:r>
      <w:r>
        <w:rPr>
          <w:rFonts w:ascii="仿宋_GB2312" w:eastAsia="仿宋_GB2312"/>
          <w:sz w:val="32"/>
          <w:szCs w:val="32"/>
        </w:rPr>
        <w:t>生成比率应当达到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w:t>
      </w:r>
      <w:r>
        <w:rPr>
          <w:rFonts w:hint="eastAsia" w:ascii="仿宋_GB2312" w:eastAsia="仿宋_GB2312"/>
          <w:sz w:val="32"/>
          <w:szCs w:val="32"/>
        </w:rPr>
        <w:t>文书</w:t>
      </w:r>
      <w:r>
        <w:rPr>
          <w:rFonts w:ascii="仿宋_GB2312" w:eastAsia="仿宋_GB2312"/>
          <w:sz w:val="32"/>
          <w:szCs w:val="32"/>
        </w:rPr>
        <w:t>生成比率=</w:t>
      </w:r>
      <w:r>
        <w:rPr>
          <w:rFonts w:hint="eastAsia" w:ascii="仿宋_GB2312" w:eastAsia="仿宋_GB2312"/>
          <w:sz w:val="32"/>
          <w:szCs w:val="32"/>
        </w:rPr>
        <w:t>使用</w:t>
      </w:r>
      <w:r>
        <w:rPr>
          <w:rFonts w:ascii="仿宋_GB2312" w:eastAsia="仿宋_GB2312"/>
          <w:sz w:val="32"/>
          <w:szCs w:val="32"/>
        </w:rPr>
        <w:t>法律文书</w:t>
      </w:r>
      <w:r>
        <w:rPr>
          <w:rFonts w:hint="eastAsia" w:ascii="仿宋_GB2312" w:eastAsia="仿宋_GB2312"/>
          <w:sz w:val="32"/>
          <w:szCs w:val="32"/>
        </w:rPr>
        <w:t>辅助生成</w:t>
      </w:r>
      <w:r>
        <w:rPr>
          <w:rFonts w:ascii="仿宋_GB2312" w:eastAsia="仿宋_GB2312"/>
          <w:sz w:val="32"/>
          <w:szCs w:val="32"/>
        </w:rPr>
        <w:t>服务生成的文书数量</w:t>
      </w:r>
      <w:r>
        <w:rPr>
          <w:rFonts w:hint="eastAsia" w:ascii="仿宋_GB2312" w:eastAsia="仿宋_GB2312"/>
          <w:sz w:val="32"/>
          <w:szCs w:val="32"/>
        </w:rPr>
        <w:t>/辖区</w:t>
      </w:r>
      <w:r>
        <w:rPr>
          <w:rFonts w:ascii="仿宋_GB2312" w:eastAsia="仿宋_GB2312"/>
          <w:sz w:val="32"/>
          <w:szCs w:val="32"/>
        </w:rPr>
        <w:t>完成功能建设法院</w:t>
      </w:r>
      <w:r>
        <w:rPr>
          <w:rFonts w:hint="eastAsia" w:ascii="仿宋_GB2312" w:eastAsia="仿宋_GB2312"/>
          <w:sz w:val="32"/>
          <w:szCs w:val="32"/>
        </w:rPr>
        <w:t>全部</w:t>
      </w:r>
      <w:r>
        <w:rPr>
          <w:rFonts w:ascii="仿宋_GB2312" w:eastAsia="仿宋_GB2312"/>
          <w:sz w:val="32"/>
          <w:szCs w:val="32"/>
        </w:rPr>
        <w:t>文书数量</w:t>
      </w:r>
      <w:r>
        <w:rPr>
          <w:rFonts w:hint="eastAsia" w:ascii="仿宋_GB2312" w:eastAsia="仿宋_GB2312"/>
          <w:sz w:val="32"/>
          <w:szCs w:val="32"/>
        </w:rPr>
        <w:t>。</w:t>
      </w:r>
    </w:p>
    <w:p>
      <w:pPr>
        <w:rPr>
          <w:rFonts w:ascii="仿宋_GB2312" w:eastAsia="仿宋_GB2312"/>
          <w:sz w:val="32"/>
          <w:szCs w:val="32"/>
        </w:rPr>
      </w:pPr>
      <w:r>
        <w:rPr>
          <w:sz w:val="22"/>
          <w:szCs w:val="24"/>
        </w:rPr>
        <w:object>
          <v:shape id="_x0000_i1034" o:spt="75" type="#_x0000_t75" style="height:241.55pt;width:424pt;" o:ole="t" filled="f" o:preferrelative="t" stroked="f" coordsize="21600,21600">
            <v:path/>
            <v:fill on="f" focussize="0,0"/>
            <v:stroke on="f"/>
            <v:imagedata r:id="rId28" o:title=""/>
            <o:lock v:ext="edit" aspectratio="f"/>
            <w10:wrap type="none"/>
            <w10:anchorlock/>
          </v:shape>
          <o:OLEObject Type="Embed" ProgID="Excel.Sheet.8" ShapeID="_x0000_i1034" DrawAspect="Content" ObjectID="_1468075734" r:id="rId27">
            <o:LockedField>false</o:LockedField>
          </o:OLEObject>
        </w:object>
      </w:r>
    </w:p>
    <w:p>
      <w:pPr>
        <w:ind w:firstLine="640" w:firstLineChars="200"/>
        <w:rPr>
          <w:rFonts w:ascii="仿宋_GB2312" w:eastAsia="仿宋_GB2312"/>
          <w:sz w:val="32"/>
          <w:szCs w:val="32"/>
        </w:rPr>
      </w:pPr>
      <w:r>
        <w:rPr>
          <w:rFonts w:hint="eastAsia" w:ascii="仿宋_GB2312" w:eastAsia="仿宋_GB2312"/>
          <w:sz w:val="32"/>
          <w:szCs w:val="32"/>
        </w:rPr>
        <w:t>5. 电子卷宗自动归档</w:t>
      </w:r>
      <w:r>
        <w:rPr>
          <w:rFonts w:ascii="仿宋_GB2312" w:eastAsia="仿宋_GB2312"/>
          <w:sz w:val="32"/>
          <w:szCs w:val="32"/>
        </w:rPr>
        <w:t>比率应当达到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w:t>
      </w:r>
      <w:r>
        <w:rPr>
          <w:rFonts w:hint="eastAsia" w:ascii="仿宋_GB2312" w:eastAsia="仿宋_GB2312"/>
          <w:sz w:val="32"/>
          <w:szCs w:val="32"/>
        </w:rPr>
        <w:t>自动归档</w:t>
      </w:r>
      <w:r>
        <w:rPr>
          <w:rFonts w:ascii="仿宋_GB2312" w:eastAsia="仿宋_GB2312"/>
          <w:sz w:val="32"/>
          <w:szCs w:val="32"/>
        </w:rPr>
        <w:t>比率=</w:t>
      </w:r>
      <w:r>
        <w:rPr>
          <w:rFonts w:hint="eastAsia" w:ascii="仿宋_GB2312" w:eastAsia="仿宋_GB2312"/>
          <w:sz w:val="32"/>
          <w:szCs w:val="32"/>
        </w:rPr>
        <w:t>电子卷宗直接</w:t>
      </w:r>
      <w:r>
        <w:rPr>
          <w:rFonts w:ascii="仿宋_GB2312" w:eastAsia="仿宋_GB2312"/>
          <w:sz w:val="32"/>
          <w:szCs w:val="32"/>
        </w:rPr>
        <w:t>可转化为电子</w:t>
      </w:r>
      <w:r>
        <w:rPr>
          <w:rFonts w:hint="eastAsia" w:ascii="仿宋_GB2312" w:eastAsia="仿宋_GB2312"/>
          <w:sz w:val="32"/>
          <w:szCs w:val="32"/>
        </w:rPr>
        <w:t>档案</w:t>
      </w:r>
      <w:r>
        <w:rPr>
          <w:rFonts w:ascii="仿宋_GB2312" w:eastAsia="仿宋_GB2312"/>
          <w:sz w:val="32"/>
          <w:szCs w:val="32"/>
        </w:rPr>
        <w:t>的诉讼案件数量</w:t>
      </w:r>
      <w:r>
        <w:rPr>
          <w:rFonts w:hint="eastAsia" w:ascii="仿宋_GB2312" w:eastAsia="仿宋_GB2312"/>
          <w:sz w:val="32"/>
          <w:szCs w:val="32"/>
        </w:rPr>
        <w:t>/辖区</w:t>
      </w:r>
      <w:r>
        <w:rPr>
          <w:rFonts w:ascii="仿宋_GB2312" w:eastAsia="仿宋_GB2312"/>
          <w:sz w:val="32"/>
          <w:szCs w:val="32"/>
        </w:rPr>
        <w:t>完成功能建设法院</w:t>
      </w:r>
      <w:r>
        <w:rPr>
          <w:rFonts w:hint="eastAsia" w:ascii="仿宋_GB2312" w:eastAsia="仿宋_GB2312"/>
          <w:sz w:val="32"/>
          <w:szCs w:val="32"/>
        </w:rPr>
        <w:t>诉讼案件</w:t>
      </w:r>
      <w:r>
        <w:rPr>
          <w:rFonts w:ascii="仿宋_GB2312" w:eastAsia="仿宋_GB2312"/>
          <w:sz w:val="32"/>
          <w:szCs w:val="32"/>
        </w:rPr>
        <w:t>总数。</w:t>
      </w:r>
    </w:p>
    <w:p>
      <w:pPr>
        <w:ind w:firstLine="640" w:firstLineChars="200"/>
        <w:rPr>
          <w:rFonts w:ascii="黑体" w:hAnsi="黑体" w:eastAsia="黑体"/>
          <w:sz w:val="32"/>
          <w:szCs w:val="32"/>
        </w:rPr>
      </w:pP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除</w:t>
      </w:r>
      <w:r>
        <w:rPr>
          <w:rFonts w:ascii="黑体" w:hAnsi="黑体" w:eastAsia="黑体"/>
          <w:sz w:val="32"/>
          <w:szCs w:val="32"/>
        </w:rPr>
        <w:t>电子卷宗随案同步生成</w:t>
      </w:r>
      <w:r>
        <w:rPr>
          <w:rFonts w:hint="eastAsia" w:ascii="黑体" w:hAnsi="黑体" w:eastAsia="黑体"/>
          <w:sz w:val="32"/>
          <w:szCs w:val="32"/>
        </w:rPr>
        <w:t>比率、电子卷宗</w:t>
      </w:r>
      <w:r>
        <w:rPr>
          <w:rFonts w:ascii="黑体" w:hAnsi="黑体" w:eastAsia="黑体"/>
          <w:sz w:val="32"/>
          <w:szCs w:val="32"/>
        </w:rPr>
        <w:t>智能编目比率</w:t>
      </w:r>
      <w:r>
        <w:rPr>
          <w:rFonts w:hint="eastAsia" w:ascii="黑体" w:hAnsi="黑体" w:eastAsia="黑体"/>
          <w:sz w:val="32"/>
          <w:szCs w:val="32"/>
        </w:rPr>
        <w:t>、电子卷宗自动归档</w:t>
      </w:r>
      <w:r>
        <w:rPr>
          <w:rFonts w:ascii="黑体" w:hAnsi="黑体" w:eastAsia="黑体"/>
          <w:sz w:val="32"/>
          <w:szCs w:val="32"/>
        </w:rPr>
        <w:t>比率</w:t>
      </w:r>
      <w:r>
        <w:rPr>
          <w:rFonts w:hint="eastAsia" w:ascii="黑体" w:hAnsi="黑体" w:eastAsia="黑体"/>
          <w:sz w:val="32"/>
          <w:szCs w:val="32"/>
        </w:rPr>
        <w:t>3项</w:t>
      </w:r>
      <w:r>
        <w:rPr>
          <w:rFonts w:ascii="黑体" w:hAnsi="黑体" w:eastAsia="黑体"/>
          <w:sz w:val="32"/>
          <w:szCs w:val="32"/>
        </w:rPr>
        <w:t>比率</w:t>
      </w:r>
      <w:r>
        <w:rPr>
          <w:rFonts w:hint="eastAsia" w:ascii="黑体" w:hAnsi="黑体" w:eastAsia="黑体"/>
          <w:sz w:val="32"/>
          <w:szCs w:val="32"/>
        </w:rPr>
        <w:t>已</w:t>
      </w:r>
      <w:r>
        <w:rPr>
          <w:rFonts w:ascii="黑体" w:hAnsi="黑体" w:eastAsia="黑体"/>
          <w:sz w:val="32"/>
          <w:szCs w:val="32"/>
        </w:rPr>
        <w:t>达到</w:t>
      </w:r>
      <w:r>
        <w:rPr>
          <w:rFonts w:hint="eastAsia" w:ascii="黑体" w:hAnsi="黑体" w:eastAsia="黑体"/>
          <w:sz w:val="32"/>
          <w:szCs w:val="32"/>
        </w:rPr>
        <w:t>100</w:t>
      </w:r>
      <w:r>
        <w:rPr>
          <w:rFonts w:ascii="黑体" w:hAnsi="黑体" w:eastAsia="黑体"/>
          <w:sz w:val="32"/>
          <w:szCs w:val="32"/>
        </w:rPr>
        <w:t>%</w:t>
      </w:r>
      <w:r>
        <w:rPr>
          <w:rFonts w:hint="eastAsia" w:ascii="黑体" w:hAnsi="黑体" w:eastAsia="黑体"/>
          <w:sz w:val="32"/>
          <w:szCs w:val="32"/>
        </w:rPr>
        <w:t>外</w:t>
      </w:r>
      <w:r>
        <w:rPr>
          <w:rFonts w:ascii="黑体" w:hAnsi="黑体" w:eastAsia="黑体"/>
          <w:sz w:val="32"/>
          <w:szCs w:val="32"/>
        </w:rPr>
        <w:t>，</w:t>
      </w:r>
      <w:r>
        <w:rPr>
          <w:rFonts w:hint="eastAsia" w:ascii="黑体" w:hAnsi="黑体" w:eastAsia="黑体"/>
          <w:sz w:val="32"/>
          <w:szCs w:val="32"/>
        </w:rPr>
        <w:t>其余电子卷宗</w:t>
      </w:r>
      <w:r>
        <w:rPr>
          <w:rFonts w:ascii="黑体" w:hAnsi="黑体" w:eastAsia="黑体"/>
          <w:sz w:val="32"/>
          <w:szCs w:val="32"/>
        </w:rPr>
        <w:t>网上阅卷投入应用比率</w:t>
      </w:r>
      <w:r>
        <w:rPr>
          <w:rFonts w:hint="eastAsia" w:ascii="黑体" w:hAnsi="黑体" w:eastAsia="黑体"/>
          <w:sz w:val="32"/>
          <w:szCs w:val="32"/>
        </w:rPr>
        <w:t>为6</w:t>
      </w:r>
      <w:r>
        <w:rPr>
          <w:rFonts w:hint="eastAsia" w:ascii="黑体" w:hAnsi="黑体" w:eastAsia="黑体"/>
          <w:sz w:val="32"/>
          <w:szCs w:val="32"/>
          <w:lang w:val="en-US" w:eastAsia="zh-CN"/>
        </w:rPr>
        <w:t>2.84</w:t>
      </w:r>
      <w:r>
        <w:rPr>
          <w:rFonts w:ascii="黑体" w:hAnsi="黑体" w:eastAsia="黑体"/>
          <w:sz w:val="32"/>
          <w:szCs w:val="32"/>
        </w:rPr>
        <w:t>%</w:t>
      </w:r>
      <w:r>
        <w:rPr>
          <w:rFonts w:hint="eastAsia" w:ascii="黑体" w:hAnsi="黑体" w:eastAsia="黑体"/>
          <w:sz w:val="32"/>
          <w:szCs w:val="32"/>
        </w:rPr>
        <w:t>、电子卷宗文书</w:t>
      </w:r>
      <w:r>
        <w:rPr>
          <w:rFonts w:ascii="黑体" w:hAnsi="黑体" w:eastAsia="黑体"/>
          <w:sz w:val="32"/>
          <w:szCs w:val="32"/>
        </w:rPr>
        <w:t>生成比率</w:t>
      </w:r>
      <w:r>
        <w:rPr>
          <w:rFonts w:hint="eastAsia" w:ascii="黑体" w:hAnsi="黑体" w:eastAsia="黑体"/>
          <w:sz w:val="32"/>
          <w:szCs w:val="32"/>
        </w:rPr>
        <w:t>为72.</w:t>
      </w:r>
      <w:r>
        <w:rPr>
          <w:rFonts w:hint="eastAsia" w:ascii="黑体" w:hAnsi="黑体" w:eastAsia="黑体"/>
          <w:sz w:val="32"/>
          <w:szCs w:val="32"/>
          <w:lang w:val="en-US" w:eastAsia="zh-CN"/>
        </w:rPr>
        <w:t>16</w:t>
      </w:r>
      <w:r>
        <w:rPr>
          <w:rFonts w:ascii="黑体" w:hAnsi="黑体" w:eastAsia="黑体"/>
          <w:sz w:val="32"/>
          <w:szCs w:val="32"/>
        </w:rPr>
        <w:t>%，</w:t>
      </w:r>
      <w:r>
        <w:rPr>
          <w:rFonts w:hint="eastAsia" w:ascii="黑体" w:hAnsi="黑体" w:eastAsia="黑体"/>
          <w:sz w:val="32"/>
          <w:szCs w:val="32"/>
        </w:rPr>
        <w:t>均未达标，应当引起院长高度</w:t>
      </w:r>
      <w:r>
        <w:rPr>
          <w:rFonts w:ascii="黑体" w:hAnsi="黑体" w:eastAsia="黑体"/>
          <w:sz w:val="32"/>
          <w:szCs w:val="32"/>
        </w:rPr>
        <w:t>关注</w:t>
      </w:r>
      <w:r>
        <w:rPr>
          <w:rFonts w:hint="eastAsia" w:ascii="黑体" w:hAnsi="黑体" w:eastAsia="黑体"/>
          <w:sz w:val="32"/>
          <w:szCs w:val="32"/>
        </w:rPr>
        <w:t>。关于电子卷宗</w:t>
      </w:r>
      <w:r>
        <w:rPr>
          <w:rFonts w:ascii="黑体" w:hAnsi="黑体" w:eastAsia="黑体"/>
          <w:sz w:val="32"/>
          <w:szCs w:val="32"/>
        </w:rPr>
        <w:t>网上阅卷投入应用</w:t>
      </w:r>
      <w:r>
        <w:rPr>
          <w:rFonts w:hint="eastAsia" w:ascii="黑体" w:hAnsi="黑体" w:eastAsia="黑体"/>
          <w:sz w:val="32"/>
          <w:szCs w:val="32"/>
        </w:rPr>
        <w:t>、电子卷宗文书</w:t>
      </w:r>
      <w:r>
        <w:rPr>
          <w:rFonts w:ascii="黑体" w:hAnsi="黑体" w:eastAsia="黑体"/>
          <w:sz w:val="32"/>
          <w:szCs w:val="32"/>
        </w:rPr>
        <w:t>生成</w:t>
      </w:r>
      <w:r>
        <w:rPr>
          <w:rFonts w:hint="eastAsia" w:ascii="黑体" w:hAnsi="黑体" w:eastAsia="黑体"/>
          <w:sz w:val="32"/>
          <w:szCs w:val="32"/>
        </w:rPr>
        <w:t>问题，</w:t>
      </w:r>
      <w:r>
        <w:rPr>
          <w:rFonts w:ascii="黑体" w:hAnsi="黑体" w:eastAsia="黑体"/>
          <w:sz w:val="32"/>
          <w:szCs w:val="32"/>
        </w:rPr>
        <w:t>审管办已经多次在</w:t>
      </w:r>
      <w:r>
        <w:rPr>
          <w:rFonts w:hint="eastAsia" w:ascii="黑体" w:hAnsi="黑体" w:eastAsia="黑体"/>
          <w:sz w:val="32"/>
          <w:szCs w:val="32"/>
        </w:rPr>
        <w:t>我院</w:t>
      </w:r>
      <w:r>
        <w:rPr>
          <w:rFonts w:ascii="黑体" w:hAnsi="黑体" w:eastAsia="黑体"/>
          <w:sz w:val="32"/>
          <w:szCs w:val="32"/>
        </w:rPr>
        <w:t>工作群</w:t>
      </w:r>
      <w:r>
        <w:rPr>
          <w:rFonts w:hint="eastAsia" w:ascii="黑体" w:hAnsi="黑体" w:eastAsia="黑体"/>
          <w:sz w:val="32"/>
          <w:szCs w:val="32"/>
        </w:rPr>
        <w:t>及</w:t>
      </w:r>
      <w:r>
        <w:rPr>
          <w:rFonts w:ascii="黑体" w:hAnsi="黑体" w:eastAsia="黑体"/>
          <w:sz w:val="32"/>
          <w:szCs w:val="32"/>
        </w:rPr>
        <w:t>员额法官群里进行了使用说明、生成</w:t>
      </w:r>
      <w:r>
        <w:rPr>
          <w:rFonts w:hint="eastAsia" w:ascii="黑体" w:hAnsi="黑体" w:eastAsia="黑体"/>
          <w:sz w:val="32"/>
          <w:szCs w:val="32"/>
        </w:rPr>
        <w:t>说明</w:t>
      </w:r>
      <w:r>
        <w:rPr>
          <w:rFonts w:ascii="黑体" w:hAnsi="黑体" w:eastAsia="黑体"/>
          <w:sz w:val="32"/>
          <w:szCs w:val="32"/>
        </w:rPr>
        <w:t>等，但一直没有引起大家重视</w:t>
      </w:r>
      <w:r>
        <w:rPr>
          <w:rFonts w:hint="eastAsia" w:ascii="黑体" w:hAnsi="黑体" w:eastAsia="黑体"/>
          <w:sz w:val="32"/>
          <w:szCs w:val="32"/>
        </w:rPr>
        <w:t>，希望大家</w:t>
      </w:r>
      <w:r>
        <w:rPr>
          <w:rFonts w:ascii="黑体" w:hAnsi="黑体" w:eastAsia="黑体"/>
          <w:sz w:val="32"/>
          <w:szCs w:val="32"/>
        </w:rPr>
        <w:t>今后一定要</w:t>
      </w:r>
      <w:r>
        <w:rPr>
          <w:rFonts w:hint="eastAsia" w:ascii="黑体" w:hAnsi="黑体" w:eastAsia="黑体"/>
          <w:sz w:val="32"/>
          <w:szCs w:val="32"/>
        </w:rPr>
        <w:t>在</w:t>
      </w:r>
      <w:r>
        <w:rPr>
          <w:rFonts w:ascii="黑体" w:hAnsi="黑体" w:eastAsia="黑体"/>
          <w:sz w:val="32"/>
          <w:szCs w:val="32"/>
        </w:rPr>
        <w:t>办案中应用。</w:t>
      </w:r>
    </w:p>
    <w:p>
      <w:pPr>
        <w:ind w:firstLine="643" w:firstLineChars="200"/>
        <w:outlineLvl w:val="1"/>
        <w:rPr>
          <w:rFonts w:ascii="仿宋_GB2312" w:eastAsia="仿宋_GB2312"/>
          <w:b/>
          <w:sz w:val="32"/>
          <w:szCs w:val="32"/>
        </w:rPr>
      </w:pPr>
      <w:r>
        <w:rPr>
          <w:rFonts w:hint="eastAsia" w:ascii="仿宋_GB2312" w:eastAsia="仿宋_GB2312"/>
          <w:b/>
          <w:sz w:val="32"/>
          <w:szCs w:val="32"/>
        </w:rPr>
        <w:t>（二十）诉讼对外委托</w:t>
      </w:r>
      <w:r>
        <w:rPr>
          <w:rFonts w:ascii="仿宋_GB2312" w:eastAsia="仿宋_GB2312"/>
          <w:b/>
          <w:sz w:val="32"/>
          <w:szCs w:val="32"/>
        </w:rPr>
        <w:t>案件网上办案</w:t>
      </w:r>
      <w:r>
        <w:rPr>
          <w:rFonts w:hint="eastAsia" w:ascii="仿宋_GB2312" w:eastAsia="仿宋_GB2312"/>
          <w:b/>
          <w:sz w:val="32"/>
          <w:szCs w:val="32"/>
        </w:rPr>
        <w:t>指标（2分）</w:t>
      </w:r>
    </w:p>
    <w:p>
      <w:pPr>
        <w:ind w:firstLine="648"/>
        <w:rPr>
          <w:rFonts w:ascii="仿宋_GB2312" w:eastAsia="仿宋_GB2312"/>
          <w:sz w:val="32"/>
          <w:szCs w:val="32"/>
        </w:rPr>
      </w:pPr>
      <w:r>
        <w:rPr>
          <w:rFonts w:hint="eastAsia" w:ascii="仿宋_GB2312" w:eastAsia="仿宋_GB2312"/>
          <w:sz w:val="32"/>
          <w:szCs w:val="32"/>
        </w:rPr>
        <w:t>用于</w:t>
      </w:r>
      <w:r>
        <w:rPr>
          <w:rFonts w:ascii="仿宋_GB2312" w:eastAsia="仿宋_GB2312"/>
          <w:sz w:val="32"/>
          <w:szCs w:val="32"/>
        </w:rPr>
        <w:t>考核诉讼对外委托案件网上办案情况，年度内动态考核。</w:t>
      </w:r>
    </w:p>
    <w:p>
      <w:pPr>
        <w:ind w:firstLine="648"/>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年1月1日</w:t>
      </w:r>
      <w:r>
        <w:rPr>
          <w:rFonts w:ascii="仿宋_GB2312" w:eastAsia="仿宋_GB2312"/>
          <w:sz w:val="32"/>
          <w:szCs w:val="32"/>
        </w:rPr>
        <w:t>起新收诉讼</w:t>
      </w:r>
      <w:r>
        <w:rPr>
          <w:rFonts w:hint="eastAsia" w:ascii="仿宋_GB2312" w:eastAsia="仿宋_GB2312"/>
          <w:sz w:val="32"/>
          <w:szCs w:val="32"/>
        </w:rPr>
        <w:t>对外</w:t>
      </w:r>
      <w:r>
        <w:rPr>
          <w:rFonts w:ascii="仿宋_GB2312" w:eastAsia="仿宋_GB2312"/>
          <w:sz w:val="32"/>
          <w:szCs w:val="32"/>
        </w:rPr>
        <w:t>委托案件应实现全流程网上办理，未实现网上办理的，每一件减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w:t>
      </w:r>
      <w:r>
        <w:rPr>
          <w:rFonts w:hint="eastAsia" w:ascii="仿宋_GB2312" w:eastAsia="仿宋_GB2312"/>
          <w:sz w:val="32"/>
          <w:szCs w:val="32"/>
        </w:rPr>
        <w:t>2</w:t>
      </w:r>
      <w:r>
        <w:rPr>
          <w:rFonts w:ascii="仿宋_GB2312" w:eastAsia="仿宋_GB2312"/>
          <w:sz w:val="32"/>
          <w:szCs w:val="32"/>
        </w:rPr>
        <w:t>018</w:t>
      </w:r>
      <w:r>
        <w:rPr>
          <w:rFonts w:hint="eastAsia" w:ascii="仿宋_GB2312" w:eastAsia="仿宋_GB2312"/>
          <w:sz w:val="32"/>
          <w:szCs w:val="32"/>
        </w:rPr>
        <w:t>年</w:t>
      </w:r>
      <w:r>
        <w:rPr>
          <w:rFonts w:ascii="仿宋_GB2312" w:eastAsia="仿宋_GB2312"/>
          <w:sz w:val="32"/>
          <w:szCs w:val="32"/>
        </w:rPr>
        <w:t>受理的诉讼</w:t>
      </w:r>
      <w:r>
        <w:rPr>
          <w:rFonts w:hint="eastAsia" w:ascii="仿宋_GB2312" w:eastAsia="仿宋_GB2312"/>
          <w:sz w:val="32"/>
          <w:szCs w:val="32"/>
        </w:rPr>
        <w:t>对外</w:t>
      </w:r>
      <w:r>
        <w:rPr>
          <w:rFonts w:ascii="仿宋_GB2312" w:eastAsia="仿宋_GB2312"/>
          <w:sz w:val="32"/>
          <w:szCs w:val="32"/>
        </w:rPr>
        <w:t>委托案件应在</w:t>
      </w:r>
      <w:r>
        <w:rPr>
          <w:rFonts w:hint="eastAsia" w:ascii="仿宋_GB2312" w:eastAsia="仿宋_GB2312"/>
          <w:sz w:val="32"/>
          <w:szCs w:val="32"/>
        </w:rPr>
        <w:t>2019年2月28日</w:t>
      </w:r>
      <w:r>
        <w:rPr>
          <w:rFonts w:ascii="仿宋_GB2312" w:eastAsia="仿宋_GB2312"/>
          <w:sz w:val="32"/>
          <w:szCs w:val="32"/>
        </w:rPr>
        <w:t>前完成网上信息部</w:t>
      </w:r>
      <w:r>
        <w:rPr>
          <w:rFonts w:hint="eastAsia" w:ascii="仿宋_GB2312" w:eastAsia="仿宋_GB2312"/>
          <w:sz w:val="32"/>
          <w:szCs w:val="32"/>
        </w:rPr>
        <w:t>补录</w:t>
      </w:r>
      <w:r>
        <w:rPr>
          <w:rFonts w:ascii="仿宋_GB2312" w:eastAsia="仿宋_GB2312"/>
          <w:sz w:val="32"/>
          <w:szCs w:val="32"/>
        </w:rPr>
        <w:t>工作，未按时全面补录的，每一件减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1</w:t>
      </w:r>
      <w:r>
        <w:rPr>
          <w:rFonts w:ascii="仿宋_GB2312" w:eastAsia="仿宋_GB2312"/>
          <w:sz w:val="32"/>
          <w:szCs w:val="32"/>
        </w:rPr>
        <w:t>分</w:t>
      </w:r>
      <w:r>
        <w:rPr>
          <w:rFonts w:hint="eastAsia" w:ascii="仿宋_GB2312" w:eastAsia="仿宋_GB2312"/>
          <w:sz w:val="32"/>
          <w:szCs w:val="32"/>
        </w:rPr>
        <w:t>为限</w:t>
      </w:r>
      <w:r>
        <w:rPr>
          <w:rFonts w:ascii="仿宋_GB2312" w:eastAsia="仿宋_GB2312"/>
          <w:sz w:val="32"/>
          <w:szCs w:val="32"/>
        </w:rPr>
        <w:t>。</w:t>
      </w:r>
    </w:p>
    <w:p>
      <w:pPr>
        <w:ind w:firstLine="648"/>
        <w:rPr>
          <w:rFonts w:ascii="黑体" w:hAnsi="黑体" w:eastAsia="黑体"/>
          <w:sz w:val="32"/>
          <w:szCs w:val="32"/>
        </w:rPr>
      </w:pPr>
      <w:r>
        <w:rPr>
          <w:rFonts w:hint="eastAsia" w:ascii="黑体" w:hAnsi="黑体" w:eastAsia="黑体"/>
          <w:sz w:val="32"/>
          <w:szCs w:val="32"/>
        </w:rPr>
        <w:t>我院该项考核指标立案庭已经进行操作，应当继续保持。</w:t>
      </w:r>
    </w:p>
    <w:p>
      <w:pPr>
        <w:ind w:firstLine="643" w:firstLineChars="200"/>
        <w:outlineLvl w:val="1"/>
        <w:rPr>
          <w:rFonts w:ascii="仿宋_GB2312" w:eastAsia="仿宋_GB2312"/>
          <w:b/>
          <w:sz w:val="32"/>
          <w:szCs w:val="32"/>
        </w:rPr>
      </w:pPr>
      <w:r>
        <w:rPr>
          <w:rFonts w:hint="eastAsia" w:ascii="仿宋_GB2312" w:eastAsia="仿宋_GB2312"/>
          <w:b/>
          <w:sz w:val="32"/>
          <w:szCs w:val="32"/>
        </w:rPr>
        <w:t>（二十一）暂予监外执行</w:t>
      </w:r>
      <w:r>
        <w:rPr>
          <w:rFonts w:ascii="仿宋_GB2312" w:eastAsia="仿宋_GB2312"/>
          <w:b/>
          <w:sz w:val="32"/>
          <w:szCs w:val="32"/>
        </w:rPr>
        <w:t>组织诊断工作</w:t>
      </w:r>
      <w:r>
        <w:rPr>
          <w:rFonts w:hint="eastAsia" w:ascii="仿宋_GB2312" w:eastAsia="仿宋_GB2312"/>
          <w:b/>
          <w:sz w:val="32"/>
          <w:szCs w:val="32"/>
        </w:rPr>
        <w:t>指标（2分）</w:t>
      </w:r>
    </w:p>
    <w:p>
      <w:pPr>
        <w:ind w:firstLine="648"/>
        <w:rPr>
          <w:rFonts w:ascii="仿宋_GB2312" w:eastAsia="仿宋_GB2312"/>
          <w:sz w:val="32"/>
          <w:szCs w:val="32"/>
        </w:rPr>
      </w:pPr>
      <w:r>
        <w:rPr>
          <w:rFonts w:hint="eastAsia" w:ascii="仿宋_GB2312" w:eastAsia="仿宋_GB2312"/>
          <w:sz w:val="32"/>
          <w:szCs w:val="32"/>
        </w:rPr>
        <w:t>用于</w:t>
      </w:r>
      <w:r>
        <w:rPr>
          <w:rFonts w:ascii="仿宋_GB2312" w:eastAsia="仿宋_GB2312"/>
          <w:sz w:val="32"/>
          <w:szCs w:val="32"/>
        </w:rPr>
        <w:t>考核暂予监外执行组织诊断</w:t>
      </w:r>
      <w:r>
        <w:rPr>
          <w:rFonts w:hint="eastAsia" w:ascii="仿宋_GB2312" w:eastAsia="仿宋_GB2312"/>
          <w:sz w:val="32"/>
          <w:szCs w:val="32"/>
        </w:rPr>
        <w:t>工作</w:t>
      </w:r>
      <w:r>
        <w:rPr>
          <w:rFonts w:ascii="仿宋_GB2312" w:eastAsia="仿宋_GB2312"/>
          <w:sz w:val="32"/>
          <w:szCs w:val="32"/>
        </w:rPr>
        <w:t>开展情况，年度内</w:t>
      </w:r>
      <w:r>
        <w:rPr>
          <w:rFonts w:hint="eastAsia" w:ascii="仿宋_GB2312" w:eastAsia="仿宋_GB2312"/>
          <w:sz w:val="32"/>
          <w:szCs w:val="32"/>
        </w:rPr>
        <w:t>动态考核。</w:t>
      </w:r>
    </w:p>
    <w:p>
      <w:pPr>
        <w:ind w:firstLine="648"/>
        <w:rPr>
          <w:rFonts w:ascii="黑体" w:hAnsi="黑体" w:eastAsia="黑体"/>
          <w:sz w:val="32"/>
          <w:szCs w:val="32"/>
        </w:rPr>
      </w:pPr>
      <w:r>
        <w:rPr>
          <w:rFonts w:hint="eastAsia" w:ascii="仿宋_GB2312" w:eastAsia="仿宋_GB2312"/>
          <w:sz w:val="32"/>
          <w:szCs w:val="32"/>
        </w:rPr>
        <w:t>各地</w:t>
      </w:r>
      <w:r>
        <w:rPr>
          <w:rFonts w:ascii="仿宋_GB2312" w:eastAsia="仿宋_GB2312"/>
          <w:sz w:val="32"/>
          <w:szCs w:val="32"/>
        </w:rPr>
        <w:t>（辖）区法院应严格按照最高法院和省法院关于</w:t>
      </w:r>
      <w:r>
        <w:rPr>
          <w:rFonts w:hint="eastAsia" w:ascii="仿宋_GB2312" w:eastAsia="仿宋_GB2312"/>
          <w:sz w:val="32"/>
          <w:szCs w:val="32"/>
        </w:rPr>
        <w:t>暂</w:t>
      </w:r>
      <w:r>
        <w:rPr>
          <w:rFonts w:ascii="仿宋_GB2312" w:eastAsia="仿宋_GB2312"/>
          <w:sz w:val="32"/>
          <w:szCs w:val="32"/>
        </w:rPr>
        <w:t>予监外执行</w:t>
      </w:r>
      <w:r>
        <w:rPr>
          <w:rFonts w:hint="eastAsia" w:ascii="仿宋_GB2312" w:eastAsia="仿宋_GB2312"/>
          <w:sz w:val="32"/>
          <w:szCs w:val="32"/>
        </w:rPr>
        <w:t>组织</w:t>
      </w:r>
      <w:r>
        <w:rPr>
          <w:rFonts w:ascii="仿宋_GB2312" w:eastAsia="仿宋_GB2312"/>
          <w:sz w:val="32"/>
          <w:szCs w:val="32"/>
        </w:rPr>
        <w:t>诊断工作的要求开展工作，实现网上办</w:t>
      </w:r>
      <w:r>
        <w:rPr>
          <w:rFonts w:hint="eastAsia" w:ascii="仿宋_GB2312" w:eastAsia="仿宋_GB2312"/>
          <w:sz w:val="32"/>
          <w:szCs w:val="32"/>
        </w:rPr>
        <w:t>案</w:t>
      </w: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年1月1日</w:t>
      </w:r>
      <w:r>
        <w:rPr>
          <w:rFonts w:ascii="仿宋_GB2312" w:eastAsia="仿宋_GB2312"/>
          <w:sz w:val="32"/>
          <w:szCs w:val="32"/>
        </w:rPr>
        <w:t>起</w:t>
      </w:r>
      <w:r>
        <w:rPr>
          <w:rFonts w:hint="eastAsia" w:ascii="仿宋_GB2312" w:eastAsia="仿宋_GB2312"/>
          <w:sz w:val="32"/>
          <w:szCs w:val="32"/>
        </w:rPr>
        <w:t>新收的案件，</w:t>
      </w:r>
      <w:r>
        <w:rPr>
          <w:rFonts w:ascii="仿宋_GB2312" w:eastAsia="仿宋_GB2312"/>
          <w:sz w:val="32"/>
          <w:szCs w:val="32"/>
        </w:rPr>
        <w:t>存在组织诊断程序不规范或者未实现网上办案的，每一件减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为限。至</w:t>
      </w:r>
      <w:r>
        <w:rPr>
          <w:rFonts w:hint="eastAsia" w:ascii="仿宋_GB2312" w:eastAsia="仿宋_GB2312"/>
          <w:sz w:val="32"/>
          <w:szCs w:val="32"/>
        </w:rPr>
        <w:t>2018年12月31日</w:t>
      </w:r>
      <w:r>
        <w:rPr>
          <w:rFonts w:ascii="仿宋_GB2312" w:eastAsia="仿宋_GB2312"/>
          <w:sz w:val="32"/>
          <w:szCs w:val="32"/>
        </w:rPr>
        <w:t>未办结的暂予监外执行组织诊断</w:t>
      </w:r>
      <w:r>
        <w:rPr>
          <w:rFonts w:hint="eastAsia" w:ascii="仿宋_GB2312" w:eastAsia="仿宋_GB2312"/>
          <w:sz w:val="32"/>
          <w:szCs w:val="32"/>
        </w:rPr>
        <w:t>案件应在2019年2月28日</w:t>
      </w:r>
      <w:r>
        <w:rPr>
          <w:rFonts w:ascii="仿宋_GB2312" w:eastAsia="仿宋_GB2312"/>
          <w:sz w:val="32"/>
          <w:szCs w:val="32"/>
        </w:rPr>
        <w:t>前完成网上信息补录工作，未按时全面补录的，每一件减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1</w:t>
      </w:r>
      <w:r>
        <w:rPr>
          <w:rFonts w:ascii="仿宋_GB2312" w:eastAsia="仿宋_GB2312"/>
          <w:sz w:val="32"/>
          <w:szCs w:val="32"/>
        </w:rPr>
        <w:t>分</w:t>
      </w:r>
      <w:r>
        <w:rPr>
          <w:rFonts w:hint="eastAsia" w:ascii="仿宋_GB2312" w:eastAsia="仿宋_GB2312"/>
          <w:sz w:val="32"/>
          <w:szCs w:val="32"/>
        </w:rPr>
        <w:t>为限</w:t>
      </w:r>
      <w:r>
        <w:rPr>
          <w:rFonts w:ascii="仿宋_GB2312" w:eastAsia="仿宋_GB2312"/>
          <w:sz w:val="32"/>
          <w:szCs w:val="32"/>
        </w:rPr>
        <w:t>。</w:t>
      </w:r>
      <w:r>
        <w:rPr>
          <w:rFonts w:hint="eastAsia" w:ascii="黑体" w:hAnsi="黑体" w:eastAsia="黑体"/>
          <w:sz w:val="32"/>
          <w:szCs w:val="32"/>
        </w:rPr>
        <w:t>我院</w:t>
      </w:r>
      <w:r>
        <w:rPr>
          <w:rFonts w:ascii="黑体" w:hAnsi="黑体" w:eastAsia="黑体"/>
          <w:sz w:val="32"/>
          <w:szCs w:val="32"/>
        </w:rPr>
        <w:t>目前</w:t>
      </w:r>
      <w:r>
        <w:rPr>
          <w:rFonts w:hint="eastAsia" w:ascii="黑体" w:hAnsi="黑体" w:eastAsia="黑体"/>
          <w:sz w:val="32"/>
          <w:szCs w:val="32"/>
        </w:rPr>
        <w:t>还</w:t>
      </w:r>
      <w:r>
        <w:rPr>
          <w:rFonts w:ascii="黑体" w:hAnsi="黑体" w:eastAsia="黑体"/>
          <w:sz w:val="32"/>
          <w:szCs w:val="32"/>
        </w:rPr>
        <w:t>没有该类案件。</w:t>
      </w:r>
    </w:p>
    <w:p>
      <w:pPr>
        <w:ind w:firstLine="643" w:firstLineChars="200"/>
        <w:outlineLvl w:val="1"/>
        <w:rPr>
          <w:rFonts w:ascii="仿宋_GB2312" w:eastAsia="仿宋_GB2312"/>
          <w:b/>
          <w:sz w:val="32"/>
          <w:szCs w:val="32"/>
        </w:rPr>
      </w:pPr>
      <w:r>
        <w:rPr>
          <w:rFonts w:hint="eastAsia" w:ascii="仿宋_GB2312" w:eastAsia="仿宋_GB2312"/>
          <w:b/>
          <w:sz w:val="32"/>
          <w:szCs w:val="32"/>
        </w:rPr>
        <w:t>（二十二）人均审结诉讼案件数指标（加分项，1分）</w:t>
      </w:r>
    </w:p>
    <w:p>
      <w:pPr>
        <w:ind w:firstLine="640" w:firstLineChars="200"/>
        <w:rPr>
          <w:rFonts w:ascii="仿宋_GB2312" w:eastAsia="仿宋_GB2312"/>
          <w:sz w:val="32"/>
          <w:szCs w:val="32"/>
        </w:rPr>
      </w:pPr>
      <w:r>
        <w:rPr>
          <w:rFonts w:hint="eastAsia" w:ascii="仿宋_GB2312" w:eastAsia="仿宋_GB2312"/>
          <w:sz w:val="32"/>
          <w:szCs w:val="32"/>
        </w:rPr>
        <w:t>人均审结诉讼案件数=诉讼案件结案</w:t>
      </w:r>
      <w:r>
        <w:rPr>
          <w:rFonts w:ascii="仿宋_GB2312" w:eastAsia="仿宋_GB2312"/>
          <w:sz w:val="32"/>
          <w:szCs w:val="32"/>
        </w:rPr>
        <w:t>总数</w:t>
      </w:r>
      <w:r>
        <w:rPr>
          <w:rFonts w:hint="eastAsia" w:ascii="仿宋_GB2312" w:eastAsia="仿宋_GB2312"/>
          <w:sz w:val="32"/>
          <w:szCs w:val="32"/>
        </w:rPr>
        <w:t>/员额法官</w:t>
      </w:r>
      <w:r>
        <w:rPr>
          <w:rFonts w:ascii="仿宋_GB2312" w:eastAsia="仿宋_GB2312"/>
          <w:sz w:val="32"/>
          <w:szCs w:val="32"/>
        </w:rPr>
        <w:t>数。</w:t>
      </w:r>
    </w:p>
    <w:p>
      <w:pPr>
        <w:ind w:firstLine="640" w:firstLineChars="200"/>
        <w:rPr>
          <w:rFonts w:ascii="黑体" w:hAnsi="黑体" w:eastAsia="黑体"/>
          <w:sz w:val="32"/>
          <w:szCs w:val="32"/>
        </w:rPr>
      </w:pPr>
      <w:r>
        <w:rPr>
          <w:rFonts w:hint="eastAsia" w:ascii="仿宋_GB2312" w:eastAsia="仿宋_GB2312"/>
          <w:sz w:val="32"/>
          <w:szCs w:val="32"/>
        </w:rPr>
        <w:t>年度人均审结诉讼案件数高于全省人均审结诉讼案件数平均值的给予加分，每高于平均值1件（不足1件的按1件计算）的加0.02分，加分以1分为限。该项由中院按年度评定。</w:t>
      </w:r>
      <w:r>
        <w:rPr>
          <w:rFonts w:hint="eastAsia" w:ascii="黑体" w:hAnsi="黑体" w:eastAsia="黑体"/>
          <w:sz w:val="32"/>
          <w:szCs w:val="32"/>
        </w:rPr>
        <w:t>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我院人均结案数为</w:t>
      </w:r>
      <w:r>
        <w:rPr>
          <w:rFonts w:hint="eastAsia" w:ascii="黑体" w:hAnsi="黑体" w:eastAsia="黑体"/>
          <w:sz w:val="32"/>
          <w:szCs w:val="32"/>
          <w:lang w:val="en-US" w:eastAsia="zh-CN"/>
        </w:rPr>
        <w:t>70.68</w:t>
      </w:r>
      <w:r>
        <w:rPr>
          <w:rFonts w:hint="eastAsia" w:ascii="黑体" w:hAnsi="黑体" w:eastAsia="黑体"/>
          <w:sz w:val="32"/>
          <w:szCs w:val="32"/>
        </w:rPr>
        <w:t>件，全州排在</w:t>
      </w:r>
      <w:r>
        <w:rPr>
          <w:rFonts w:ascii="黑体" w:hAnsi="黑体" w:eastAsia="黑体"/>
          <w:sz w:val="32"/>
          <w:szCs w:val="32"/>
        </w:rPr>
        <w:t>第</w:t>
      </w:r>
      <w:r>
        <w:rPr>
          <w:rFonts w:hint="eastAsia" w:ascii="黑体" w:hAnsi="黑体" w:eastAsia="黑体"/>
          <w:sz w:val="32"/>
          <w:szCs w:val="32"/>
        </w:rPr>
        <w:t>8</w:t>
      </w:r>
      <w:r>
        <w:rPr>
          <w:rFonts w:ascii="黑体" w:hAnsi="黑体" w:eastAsia="黑体"/>
          <w:sz w:val="32"/>
          <w:szCs w:val="32"/>
        </w:rPr>
        <w:t>位</w:t>
      </w:r>
      <w:r>
        <w:rPr>
          <w:rFonts w:hint="eastAsia" w:ascii="黑体" w:hAnsi="黑体" w:eastAsia="黑体"/>
          <w:sz w:val="32"/>
          <w:szCs w:val="32"/>
        </w:rPr>
        <w:t>。</w:t>
      </w:r>
    </w:p>
    <w:p>
      <w:pPr>
        <w:rPr>
          <w:rFonts w:ascii="黑体" w:hAnsi="黑体" w:eastAsia="黑体"/>
          <w:sz w:val="32"/>
          <w:szCs w:val="32"/>
        </w:rPr>
      </w:pPr>
      <w:r>
        <w:rPr>
          <w:rFonts w:ascii="黑体" w:hAnsi="黑体" w:eastAsia="黑体"/>
          <w:sz w:val="32"/>
          <w:szCs w:val="32"/>
        </w:rPr>
        <w:drawing>
          <wp:inline distT="0" distB="0" distL="0" distR="0">
            <wp:extent cx="5246370" cy="2619375"/>
            <wp:effectExtent l="4445" t="4445" r="6985" b="1270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ind w:firstLine="643" w:firstLineChars="200"/>
        <w:outlineLvl w:val="1"/>
        <w:rPr>
          <w:rFonts w:ascii="仿宋_GB2312" w:eastAsia="仿宋_GB2312"/>
          <w:b/>
          <w:sz w:val="32"/>
          <w:szCs w:val="32"/>
        </w:rPr>
      </w:pPr>
      <w:r>
        <w:rPr>
          <w:rFonts w:hint="eastAsia" w:ascii="仿宋_GB2312" w:eastAsia="仿宋_GB2312"/>
          <w:b/>
          <w:sz w:val="32"/>
          <w:szCs w:val="32"/>
        </w:rPr>
        <w:t>（二十三）诉讼案件平均审理天数指标（加分项，1分）</w:t>
      </w:r>
    </w:p>
    <w:p>
      <w:pPr>
        <w:ind w:firstLine="640" w:firstLineChars="200"/>
        <w:rPr>
          <w:rFonts w:ascii="仿宋_GB2312" w:eastAsia="仿宋_GB2312"/>
          <w:sz w:val="32"/>
          <w:szCs w:val="32"/>
        </w:rPr>
      </w:pPr>
      <w:r>
        <w:rPr>
          <w:rFonts w:hint="eastAsia" w:ascii="仿宋_GB2312" w:eastAsia="仿宋_GB2312"/>
          <w:sz w:val="32"/>
          <w:szCs w:val="32"/>
        </w:rPr>
        <w:t>平均审理天数=</w:t>
      </w:r>
      <w:r>
        <w:rPr>
          <w:rFonts w:ascii="仿宋_GB2312" w:eastAsia="仿宋_GB2312"/>
          <w:sz w:val="32"/>
          <w:szCs w:val="32"/>
        </w:rPr>
        <w:t>各类案件审理总天数</w:t>
      </w:r>
      <w:r>
        <w:rPr>
          <w:rFonts w:hint="eastAsia" w:ascii="仿宋_GB2312" w:eastAsia="仿宋_GB2312"/>
          <w:sz w:val="32"/>
          <w:szCs w:val="32"/>
        </w:rPr>
        <w:t>/结案总数</w:t>
      </w:r>
      <w:r>
        <w:rPr>
          <w:rFonts w:ascii="仿宋_GB2312" w:eastAsia="仿宋_GB2312"/>
          <w:sz w:val="32"/>
          <w:szCs w:val="32"/>
        </w:rPr>
        <w:t>。</w:t>
      </w:r>
    </w:p>
    <w:p>
      <w:pPr>
        <w:ind w:firstLine="640" w:firstLineChars="200"/>
        <w:rPr>
          <w:rFonts w:ascii="黑体" w:hAnsi="黑体" w:eastAsia="黑体"/>
          <w:sz w:val="32"/>
          <w:szCs w:val="32"/>
        </w:rPr>
      </w:pPr>
      <w:r>
        <w:rPr>
          <w:rFonts w:hint="eastAsia" w:ascii="仿宋_GB2312" w:eastAsia="仿宋_GB2312"/>
          <w:sz w:val="32"/>
          <w:szCs w:val="32"/>
        </w:rPr>
        <w:t>年度诉讼案件平均审理天数低于全省诉讼案件平均审理天数平均值的给予加分，每低于平均值1天（不足1天的按1天计算）的加0.1分，加分以1分为限。</w:t>
      </w:r>
      <w:r>
        <w:rPr>
          <w:rFonts w:hint="eastAsia" w:ascii="黑体" w:hAnsi="黑体" w:eastAsia="黑体"/>
          <w:sz w:val="32"/>
          <w:szCs w:val="32"/>
        </w:rPr>
        <w:t>该项由中院按年度评定，目前我院诉讼案件平均审理天数为</w:t>
      </w:r>
      <w:r>
        <w:rPr>
          <w:rFonts w:ascii="黑体" w:hAnsi="黑体" w:eastAsia="黑体"/>
          <w:sz w:val="32"/>
          <w:szCs w:val="32"/>
        </w:rPr>
        <w:t>5</w:t>
      </w:r>
      <w:r>
        <w:rPr>
          <w:rFonts w:hint="eastAsia" w:ascii="黑体" w:hAnsi="黑体" w:eastAsia="黑体"/>
          <w:sz w:val="32"/>
          <w:szCs w:val="32"/>
        </w:rPr>
        <w:t>4.3天，</w:t>
      </w:r>
      <w:r>
        <w:rPr>
          <w:rFonts w:ascii="黑体" w:hAnsi="黑体" w:eastAsia="黑体"/>
          <w:sz w:val="32"/>
          <w:szCs w:val="32"/>
        </w:rPr>
        <w:t>较上个月</w:t>
      </w:r>
      <w:r>
        <w:rPr>
          <w:rFonts w:hint="eastAsia" w:ascii="黑体" w:hAnsi="黑体" w:eastAsia="黑体"/>
          <w:sz w:val="32"/>
          <w:szCs w:val="32"/>
        </w:rPr>
        <w:t>缩短1.</w:t>
      </w:r>
      <w:r>
        <w:rPr>
          <w:rFonts w:hint="eastAsia" w:ascii="黑体" w:hAnsi="黑体" w:eastAsia="黑体"/>
          <w:sz w:val="32"/>
          <w:szCs w:val="32"/>
          <w:lang w:val="en-US" w:eastAsia="zh-CN"/>
        </w:rPr>
        <w:t>5</w:t>
      </w:r>
      <w:r>
        <w:rPr>
          <w:rFonts w:hint="eastAsia" w:ascii="黑体" w:hAnsi="黑体" w:eastAsia="黑体"/>
          <w:sz w:val="32"/>
          <w:szCs w:val="32"/>
        </w:rPr>
        <w:t>天。</w:t>
      </w:r>
    </w:p>
    <w:p>
      <w:pPr>
        <w:rPr>
          <w:rFonts w:ascii="黑体" w:hAnsi="黑体" w:eastAsia="黑体"/>
          <w:sz w:val="32"/>
          <w:szCs w:val="32"/>
        </w:rPr>
      </w:pPr>
      <w:r>
        <w:rPr>
          <w:rFonts w:hint="eastAsia" w:ascii="仿宋_GB2312" w:hAnsi="仿宋_GB2312" w:eastAsia="仿宋_GB2312"/>
          <w:sz w:val="32"/>
          <w:szCs w:val="32"/>
        </w:rPr>
        <w:drawing>
          <wp:inline distT="0" distB="0" distL="114300" distR="114300">
            <wp:extent cx="5253990" cy="2474595"/>
            <wp:effectExtent l="4445" t="4445" r="14605"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ind w:firstLine="643" w:firstLineChars="200"/>
        <w:outlineLvl w:val="1"/>
        <w:rPr>
          <w:rFonts w:ascii="仿宋_GB2312" w:eastAsia="仿宋_GB2312"/>
          <w:b/>
          <w:sz w:val="32"/>
          <w:szCs w:val="32"/>
        </w:rPr>
      </w:pPr>
      <w:r>
        <w:rPr>
          <w:rFonts w:hint="eastAsia" w:ascii="仿宋_GB2312" w:eastAsia="仿宋_GB2312"/>
          <w:b/>
          <w:sz w:val="32"/>
          <w:szCs w:val="32"/>
        </w:rPr>
        <w:t>（二十四）上诉、发回重审、指令再审案件平均移送天数指标（加分项，0.5分）</w:t>
      </w:r>
    </w:p>
    <w:p>
      <w:pPr>
        <w:ind w:firstLine="640" w:firstLineChars="200"/>
        <w:rPr>
          <w:rFonts w:ascii="黑体" w:hAnsi="黑体" w:eastAsia="黑体"/>
          <w:sz w:val="32"/>
          <w:szCs w:val="32"/>
        </w:rPr>
      </w:pPr>
      <w:r>
        <w:rPr>
          <w:rFonts w:hint="eastAsia" w:ascii="仿宋_GB2312" w:eastAsia="仿宋_GB2312"/>
          <w:sz w:val="32"/>
          <w:szCs w:val="32"/>
        </w:rPr>
        <w:t>上诉、发回重审、指令再审案件平均移送期限自上一诉讼程序结案之日起至下一诉讼程序收案之日止。考核2019年1月1日至2019年9月30日期间的上诉、发回重审、指令再审案件卷宗移送情况。统计期间卷宗平均移送天数分别低于该类案件全省移送天数平均值的给与加分，每低于平均值1天（不足1天的按1天计算）的加0.05分，加分以0.5分为限。</w:t>
      </w:r>
      <w:r>
        <w:rPr>
          <w:rFonts w:hint="eastAsia" w:ascii="黑体" w:hAnsi="黑体" w:eastAsia="黑体"/>
          <w:sz w:val="32"/>
          <w:szCs w:val="32"/>
        </w:rPr>
        <w:t>该项由中院评定。</w:t>
      </w:r>
    </w:p>
    <w:p>
      <w:pPr>
        <w:ind w:firstLine="643" w:firstLineChars="200"/>
        <w:outlineLvl w:val="1"/>
        <w:rPr>
          <w:rFonts w:ascii="仿宋_GB2312" w:eastAsia="仿宋_GB2312"/>
          <w:b/>
          <w:sz w:val="32"/>
          <w:szCs w:val="32"/>
        </w:rPr>
      </w:pPr>
      <w:r>
        <w:rPr>
          <w:rFonts w:hint="eastAsia" w:ascii="仿宋_GB2312" w:eastAsia="仿宋_GB2312"/>
          <w:b/>
          <w:sz w:val="32"/>
          <w:szCs w:val="32"/>
        </w:rPr>
        <w:t>（二十五）调撤率指标（加分项，0.5分）</w:t>
      </w:r>
    </w:p>
    <w:p>
      <w:pPr>
        <w:ind w:firstLine="640" w:firstLineChars="200"/>
        <w:rPr>
          <w:rFonts w:ascii="仿宋_GB2312" w:eastAsia="仿宋_GB2312"/>
          <w:sz w:val="32"/>
          <w:szCs w:val="32"/>
        </w:rPr>
      </w:pPr>
      <w:r>
        <w:rPr>
          <w:rFonts w:hint="eastAsia" w:ascii="仿宋_GB2312" w:eastAsia="仿宋_GB2312"/>
          <w:sz w:val="32"/>
          <w:szCs w:val="32"/>
        </w:rPr>
        <w:t>调撤率=</w:t>
      </w:r>
      <w:r>
        <w:rPr>
          <w:rFonts w:ascii="仿宋_GB2312" w:eastAsia="仿宋_GB2312"/>
          <w:sz w:val="32"/>
          <w:szCs w:val="32"/>
        </w:rPr>
        <w:t>调解、撤诉、</w:t>
      </w:r>
      <w:r>
        <w:rPr>
          <w:rFonts w:hint="eastAsia" w:ascii="仿宋_GB2312" w:eastAsia="仿宋_GB2312"/>
          <w:sz w:val="32"/>
          <w:szCs w:val="32"/>
        </w:rPr>
        <w:t>按撤诉</w:t>
      </w:r>
      <w:r>
        <w:rPr>
          <w:rFonts w:ascii="仿宋_GB2312" w:eastAsia="仿宋_GB2312"/>
          <w:sz w:val="32"/>
          <w:szCs w:val="32"/>
        </w:rPr>
        <w:t>案件数</w:t>
      </w:r>
      <w:r>
        <w:rPr>
          <w:rFonts w:hint="eastAsia" w:ascii="仿宋_GB2312" w:eastAsia="仿宋_GB2312"/>
          <w:sz w:val="32"/>
          <w:szCs w:val="32"/>
        </w:rPr>
        <w:t>/结案数</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年度调撤率达到全省调撤率平均值以上的给予加分，每高于平均值0.1个百分点的加0.01分，加分以0.5分为限。</w:t>
      </w:r>
    </w:p>
    <w:p>
      <w:pPr>
        <w:ind w:firstLine="640" w:firstLineChars="200"/>
        <w:rPr>
          <w:rFonts w:ascii="黑体" w:hAnsi="黑体" w:eastAsia="黑体"/>
          <w:sz w:val="32"/>
          <w:szCs w:val="32"/>
        </w:rPr>
      </w:pPr>
      <w:r>
        <w:rPr>
          <w:rFonts w:hint="eastAsia" w:ascii="黑体" w:hAnsi="黑体" w:eastAsia="黑体"/>
          <w:sz w:val="32"/>
          <w:szCs w:val="32"/>
        </w:rPr>
        <w:t>该项由中院按年度评定。截止</w:t>
      </w:r>
      <w:r>
        <w:rPr>
          <w:rFonts w:hint="eastAsia" w:ascii="黑体" w:hAnsi="黑体" w:eastAsia="黑体"/>
          <w:sz w:val="32"/>
          <w:szCs w:val="32"/>
          <w:lang w:val="en-US" w:eastAsia="zh-CN"/>
        </w:rPr>
        <w:t>9</w:t>
      </w:r>
      <w:r>
        <w:rPr>
          <w:rFonts w:hint="eastAsia" w:ascii="黑体" w:hAnsi="黑体" w:eastAsia="黑体"/>
          <w:sz w:val="32"/>
          <w:szCs w:val="32"/>
        </w:rPr>
        <w:t>月</w:t>
      </w:r>
      <w:r>
        <w:rPr>
          <w:rFonts w:ascii="黑体" w:hAnsi="黑体" w:eastAsia="黑体"/>
          <w:sz w:val="32"/>
          <w:szCs w:val="32"/>
        </w:rPr>
        <w:t>3</w:t>
      </w:r>
      <w:r>
        <w:rPr>
          <w:rFonts w:hint="eastAsia" w:ascii="黑体" w:hAnsi="黑体" w:eastAsia="黑体"/>
          <w:sz w:val="32"/>
          <w:szCs w:val="32"/>
          <w:lang w:val="en-US" w:eastAsia="zh-CN"/>
        </w:rPr>
        <w:t>0</w:t>
      </w:r>
      <w:r>
        <w:rPr>
          <w:rFonts w:hint="eastAsia" w:ascii="黑体" w:hAnsi="黑体" w:eastAsia="黑体"/>
          <w:sz w:val="32"/>
          <w:szCs w:val="32"/>
        </w:rPr>
        <w:t>日，我院民事案件调撤率为48.</w:t>
      </w:r>
      <w:r>
        <w:rPr>
          <w:rFonts w:hint="eastAsia" w:ascii="黑体" w:hAnsi="黑体" w:eastAsia="黑体"/>
          <w:sz w:val="32"/>
          <w:szCs w:val="32"/>
          <w:lang w:val="en-US" w:eastAsia="zh-CN"/>
        </w:rPr>
        <w:t>45</w:t>
      </w:r>
      <w:r>
        <w:rPr>
          <w:rFonts w:hint="eastAsia" w:ascii="黑体" w:hAnsi="黑体" w:eastAsia="黑体"/>
          <w:sz w:val="32"/>
          <w:szCs w:val="32"/>
        </w:rPr>
        <w:t>%。</w:t>
      </w:r>
    </w:p>
    <w:p>
      <w:pPr>
        <w:jc w:val="center"/>
        <w:rPr>
          <w:rFonts w:hint="eastAsia" w:ascii="黑体" w:hAnsi="黑体" w:eastAsia="黑体"/>
          <w:sz w:val="28"/>
          <w:szCs w:val="28"/>
        </w:rPr>
      </w:pPr>
    </w:p>
    <w:p>
      <w:pPr>
        <w:jc w:val="center"/>
        <w:rPr>
          <w:rFonts w:ascii="黑体" w:hAnsi="黑体" w:eastAsia="黑体"/>
          <w:sz w:val="28"/>
          <w:szCs w:val="28"/>
        </w:rPr>
      </w:pPr>
      <w:r>
        <w:rPr>
          <w:rFonts w:hint="eastAsia" w:ascii="黑体" w:hAnsi="黑体" w:eastAsia="黑体"/>
          <w:sz w:val="28"/>
          <w:szCs w:val="28"/>
        </w:rPr>
        <w:t>民事调撤情况统计表</w:t>
      </w:r>
    </w:p>
    <w:tbl>
      <w:tblPr>
        <w:tblStyle w:val="6"/>
        <w:tblW w:w="8519" w:type="dxa"/>
        <w:jc w:val="center"/>
        <w:tblInd w:w="0" w:type="dxa"/>
        <w:tblLayout w:type="fixed"/>
        <w:tblCellMar>
          <w:top w:w="0" w:type="dxa"/>
          <w:left w:w="108" w:type="dxa"/>
          <w:bottom w:w="0" w:type="dxa"/>
          <w:right w:w="108" w:type="dxa"/>
        </w:tblCellMar>
      </w:tblPr>
      <w:tblGrid>
        <w:gridCol w:w="659"/>
        <w:gridCol w:w="1438"/>
        <w:gridCol w:w="1079"/>
        <w:gridCol w:w="1078"/>
        <w:gridCol w:w="1079"/>
        <w:gridCol w:w="1068"/>
        <w:gridCol w:w="1066"/>
        <w:gridCol w:w="1052"/>
      </w:tblGrid>
      <w:tr>
        <w:tblPrEx>
          <w:tblLayout w:type="fixed"/>
          <w:tblCellMar>
            <w:top w:w="0" w:type="dxa"/>
            <w:left w:w="108" w:type="dxa"/>
            <w:bottom w:w="0" w:type="dxa"/>
            <w:right w:w="108" w:type="dxa"/>
          </w:tblCellMar>
        </w:tblPrEx>
        <w:trPr>
          <w:jc w:val="center"/>
        </w:trPr>
        <w:tc>
          <w:tcPr>
            <w:tcW w:w="65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b/>
                <w:bCs/>
                <w:sz w:val="22"/>
                <w:lang w:val="zh-CN"/>
              </w:rPr>
            </w:pPr>
            <w:r>
              <w:rPr>
                <w:rFonts w:hint="eastAsia" w:ascii="仿宋" w:hAnsi="仿宋" w:eastAsia="仿宋" w:cs="仿宋"/>
                <w:b/>
                <w:bCs/>
                <w:sz w:val="22"/>
                <w:lang w:val="zh-CN"/>
              </w:rPr>
              <w:t>序号</w:t>
            </w:r>
          </w:p>
        </w:tc>
        <w:tc>
          <w:tcPr>
            <w:tcW w:w="14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b/>
                <w:bCs/>
                <w:sz w:val="22"/>
                <w:lang w:val="zh-CN"/>
              </w:rPr>
            </w:pPr>
            <w:r>
              <w:rPr>
                <w:rFonts w:hint="eastAsia" w:ascii="仿宋" w:hAnsi="仿宋" w:eastAsia="仿宋" w:cs="仿宋"/>
                <w:b/>
                <w:bCs/>
                <w:sz w:val="22"/>
                <w:lang w:val="zh-CN"/>
              </w:rPr>
              <w:t>部 门</w:t>
            </w:r>
          </w:p>
        </w:tc>
        <w:tc>
          <w:tcPr>
            <w:tcW w:w="10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b/>
                <w:bCs/>
                <w:sz w:val="22"/>
                <w:lang w:val="zh-CN"/>
              </w:rPr>
            </w:pPr>
            <w:r>
              <w:rPr>
                <w:rFonts w:hint="eastAsia" w:ascii="仿宋" w:hAnsi="仿宋" w:eastAsia="仿宋" w:cs="仿宋"/>
                <w:b/>
                <w:bCs/>
                <w:sz w:val="22"/>
                <w:lang w:val="zh-CN"/>
              </w:rPr>
              <w:t>结案数</w:t>
            </w:r>
          </w:p>
        </w:tc>
        <w:tc>
          <w:tcPr>
            <w:tcW w:w="107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b/>
                <w:bCs/>
                <w:sz w:val="22"/>
                <w:lang w:val="zh-CN"/>
              </w:rPr>
            </w:pPr>
            <w:r>
              <w:rPr>
                <w:rFonts w:hint="eastAsia" w:ascii="仿宋" w:hAnsi="仿宋" w:eastAsia="仿宋" w:cs="仿宋"/>
                <w:b/>
                <w:bCs/>
                <w:sz w:val="22"/>
                <w:lang w:val="zh-CN"/>
              </w:rPr>
              <w:t>调解数</w:t>
            </w:r>
          </w:p>
        </w:tc>
        <w:tc>
          <w:tcPr>
            <w:tcW w:w="10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b/>
                <w:bCs/>
                <w:sz w:val="22"/>
                <w:lang w:val="zh-CN"/>
              </w:rPr>
            </w:pPr>
            <w:r>
              <w:rPr>
                <w:rFonts w:hint="eastAsia" w:ascii="仿宋" w:hAnsi="仿宋" w:eastAsia="仿宋" w:cs="仿宋"/>
                <w:b/>
                <w:bCs/>
                <w:sz w:val="22"/>
                <w:lang w:val="zh-CN"/>
              </w:rPr>
              <w:t>调解率</w:t>
            </w:r>
          </w:p>
        </w:tc>
        <w:tc>
          <w:tcPr>
            <w:tcW w:w="106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b/>
                <w:bCs/>
                <w:sz w:val="22"/>
              </w:rPr>
            </w:pPr>
            <w:r>
              <w:rPr>
                <w:rFonts w:hint="eastAsia" w:ascii="仿宋" w:hAnsi="仿宋" w:eastAsia="仿宋" w:cs="仿宋"/>
                <w:b/>
                <w:bCs/>
                <w:sz w:val="22"/>
              </w:rPr>
              <w:t>撤诉数</w:t>
            </w:r>
          </w:p>
        </w:tc>
        <w:tc>
          <w:tcPr>
            <w:tcW w:w="106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b/>
                <w:bCs/>
                <w:sz w:val="22"/>
              </w:rPr>
            </w:pPr>
            <w:r>
              <w:rPr>
                <w:rFonts w:hint="eastAsia" w:ascii="仿宋" w:hAnsi="仿宋" w:eastAsia="仿宋" w:cs="仿宋"/>
                <w:b/>
                <w:bCs/>
                <w:sz w:val="22"/>
              </w:rPr>
              <w:t>撤诉率</w:t>
            </w:r>
          </w:p>
        </w:tc>
        <w:tc>
          <w:tcPr>
            <w:tcW w:w="105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b/>
                <w:bCs/>
                <w:sz w:val="22"/>
              </w:rPr>
            </w:pPr>
            <w:r>
              <w:rPr>
                <w:rFonts w:hint="eastAsia" w:ascii="仿宋" w:hAnsi="仿宋" w:eastAsia="仿宋" w:cs="仿宋"/>
                <w:b/>
                <w:bCs/>
                <w:sz w:val="22"/>
              </w:rPr>
              <w:t>调撤率</w:t>
            </w:r>
          </w:p>
        </w:tc>
      </w:tr>
      <w:tr>
        <w:tblPrEx>
          <w:tblLayout w:type="fixed"/>
          <w:tblCellMar>
            <w:top w:w="0" w:type="dxa"/>
            <w:left w:w="108" w:type="dxa"/>
            <w:bottom w:w="0" w:type="dxa"/>
            <w:right w:w="108" w:type="dxa"/>
          </w:tblCellMar>
        </w:tblPrEx>
        <w:trPr>
          <w:trHeight w:val="270" w:hRule="atLeast"/>
          <w:jc w:val="center"/>
        </w:trPr>
        <w:tc>
          <w:tcPr>
            <w:tcW w:w="65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sz w:val="22"/>
                <w:lang w:val="zh-CN"/>
              </w:rPr>
            </w:pPr>
            <w:r>
              <w:rPr>
                <w:rFonts w:hint="eastAsia" w:ascii="仿宋" w:hAnsi="仿宋" w:eastAsia="仿宋" w:cs="仿宋"/>
                <w:sz w:val="22"/>
                <w:lang w:val="zh-CN"/>
              </w:rPr>
              <w:t>1</w:t>
            </w:r>
          </w:p>
        </w:tc>
        <w:tc>
          <w:tcPr>
            <w:tcW w:w="14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sz w:val="22"/>
                <w:lang w:val="zh-CN"/>
              </w:rPr>
            </w:pPr>
            <w:r>
              <w:rPr>
                <w:rFonts w:hint="eastAsia" w:ascii="仿宋" w:hAnsi="仿宋" w:eastAsia="仿宋" w:cs="仿宋"/>
                <w:sz w:val="22"/>
                <w:lang w:val="zh-CN"/>
              </w:rPr>
              <w:t>院领导</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宋体" w:cs="仿宋"/>
                <w:sz w:val="22"/>
                <w:lang w:val="en-US" w:eastAsia="zh-CN"/>
              </w:rPr>
            </w:pPr>
            <w:r>
              <w:rPr>
                <w:rFonts w:hint="eastAsia" w:ascii="宋体" w:hAnsi="宋体" w:eastAsia="宋体" w:cs="宋体"/>
                <w:color w:val="000000"/>
                <w:kern w:val="0"/>
                <w:sz w:val="20"/>
                <w:szCs w:val="20"/>
              </w:rPr>
              <w:t>8</w:t>
            </w:r>
            <w:r>
              <w:rPr>
                <w:rFonts w:hint="eastAsia" w:ascii="宋体" w:hAnsi="宋体" w:eastAsia="宋体" w:cs="宋体"/>
                <w:color w:val="000000"/>
                <w:kern w:val="0"/>
                <w:sz w:val="20"/>
                <w:szCs w:val="20"/>
                <w:lang w:val="en-US" w:eastAsia="zh-CN"/>
              </w:rPr>
              <w:t>7</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宋体" w:cs="仿宋"/>
                <w:sz w:val="22"/>
                <w:lang w:val="en-US"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2</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2"/>
                <w:lang w:val="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3.79</w:t>
            </w:r>
            <w:r>
              <w:rPr>
                <w:rFonts w:hint="eastAsia" w:ascii="宋体" w:hAnsi="宋体" w:eastAsia="宋体" w:cs="宋体"/>
                <w:color w:val="000000"/>
                <w:kern w:val="0"/>
                <w:sz w:val="20"/>
                <w:szCs w:val="20"/>
              </w:rPr>
              <w:t>%</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宋体" w:cs="仿宋"/>
                <w:sz w:val="22"/>
                <w:lang w:val="en-US"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8</w:t>
            </w:r>
          </w:p>
        </w:tc>
        <w:tc>
          <w:tcPr>
            <w:tcW w:w="10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2"/>
                <w:lang w:val="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2.18</w:t>
            </w:r>
            <w:r>
              <w:rPr>
                <w:rFonts w:hint="eastAsia" w:ascii="宋体" w:hAnsi="宋体" w:eastAsia="宋体" w:cs="宋体"/>
                <w:color w:val="000000"/>
                <w:kern w:val="0"/>
                <w:sz w:val="20"/>
                <w:szCs w:val="20"/>
              </w:rPr>
              <w:t>%</w:t>
            </w:r>
          </w:p>
        </w:tc>
        <w:tc>
          <w:tcPr>
            <w:tcW w:w="1052"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 w:hAnsi="仿宋" w:eastAsia="仿宋" w:cs="仿宋"/>
                <w:sz w:val="20"/>
                <w:szCs w:val="20"/>
                <w:lang w:val="zh-CN"/>
              </w:rPr>
            </w:pPr>
            <w:r>
              <w:rPr>
                <w:rFonts w:hint="eastAsia" w:ascii="宋体" w:hAnsi="宋体" w:eastAsia="宋体" w:cs="宋体"/>
                <w:color w:val="000000"/>
                <w:kern w:val="0"/>
                <w:sz w:val="20"/>
                <w:szCs w:val="20"/>
                <w:lang w:val="en-US" w:eastAsia="zh-CN"/>
              </w:rPr>
              <w:t>13.79</w:t>
            </w:r>
            <w:r>
              <w:rPr>
                <w:rFonts w:hint="eastAsia" w:ascii="宋体" w:hAnsi="宋体" w:eastAsia="宋体" w:cs="宋体"/>
                <w:color w:val="000000"/>
                <w:kern w:val="0"/>
                <w:sz w:val="20"/>
                <w:szCs w:val="20"/>
              </w:rPr>
              <w:t>%</w:t>
            </w:r>
          </w:p>
        </w:tc>
      </w:tr>
      <w:tr>
        <w:tblPrEx>
          <w:tblLayout w:type="fixed"/>
          <w:tblCellMar>
            <w:top w:w="0" w:type="dxa"/>
            <w:left w:w="108" w:type="dxa"/>
            <w:bottom w:w="0" w:type="dxa"/>
            <w:right w:w="108" w:type="dxa"/>
          </w:tblCellMar>
        </w:tblPrEx>
        <w:trPr>
          <w:trHeight w:val="300" w:hRule="atLeast"/>
          <w:jc w:val="center"/>
        </w:trPr>
        <w:tc>
          <w:tcPr>
            <w:tcW w:w="65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sz w:val="22"/>
                <w:lang w:val="zh-CN"/>
              </w:rPr>
            </w:pPr>
            <w:r>
              <w:rPr>
                <w:rFonts w:hint="eastAsia" w:ascii="仿宋" w:hAnsi="仿宋" w:eastAsia="仿宋" w:cs="仿宋"/>
                <w:sz w:val="22"/>
                <w:lang w:val="zh-CN"/>
              </w:rPr>
              <w:t>2</w:t>
            </w:r>
          </w:p>
        </w:tc>
        <w:tc>
          <w:tcPr>
            <w:tcW w:w="14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sz w:val="22"/>
                <w:lang w:val="zh-CN"/>
              </w:rPr>
            </w:pPr>
            <w:r>
              <w:rPr>
                <w:rFonts w:hint="eastAsia" w:ascii="仿宋" w:hAnsi="仿宋" w:eastAsia="仿宋" w:cs="仿宋"/>
                <w:sz w:val="22"/>
                <w:lang w:val="zh-CN"/>
              </w:rPr>
              <w:t>立案庭</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sz w:val="22"/>
                <w:lang w:val="en-US" w:eastAsia="zh-CN"/>
              </w:rPr>
            </w:pPr>
            <w:r>
              <w:rPr>
                <w:rFonts w:hint="eastAsia" w:ascii="宋体" w:hAnsi="宋体" w:eastAsia="宋体" w:cs="宋体"/>
                <w:color w:val="000000"/>
                <w:kern w:val="0"/>
                <w:sz w:val="20"/>
                <w:szCs w:val="20"/>
                <w:lang w:val="en-US" w:eastAsia="zh-CN"/>
              </w:rPr>
              <w:t>216</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sz w:val="22"/>
                <w:lang w:val="en-US" w:eastAsia="zh-CN"/>
              </w:rPr>
            </w:pPr>
            <w:r>
              <w:rPr>
                <w:rFonts w:hint="eastAsia" w:ascii="仿宋" w:hAnsi="仿宋" w:eastAsia="仿宋" w:cs="仿宋"/>
                <w:sz w:val="22"/>
                <w:lang w:val="en-US" w:eastAsia="zh-CN"/>
              </w:rPr>
              <w:t>67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2"/>
                <w:lang w:val="zh-CN"/>
              </w:rPr>
            </w:pPr>
            <w:r>
              <w:rPr>
                <w:rFonts w:hint="eastAsia" w:ascii="宋体" w:hAnsi="宋体" w:eastAsia="宋体" w:cs="宋体"/>
                <w:color w:val="000000"/>
                <w:kern w:val="0"/>
                <w:sz w:val="20"/>
                <w:szCs w:val="20"/>
              </w:rPr>
              <w:t>31.</w:t>
            </w:r>
            <w:r>
              <w:rPr>
                <w:rFonts w:hint="eastAsia" w:ascii="宋体" w:hAnsi="宋体" w:eastAsia="宋体" w:cs="宋体"/>
                <w:color w:val="000000"/>
                <w:kern w:val="0"/>
                <w:sz w:val="20"/>
                <w:szCs w:val="20"/>
                <w:lang w:val="en-US" w:eastAsia="zh-CN"/>
              </w:rPr>
              <w:t>02</w:t>
            </w:r>
            <w:r>
              <w:rPr>
                <w:rFonts w:hint="eastAsia" w:ascii="宋体" w:hAnsi="宋体" w:eastAsia="宋体" w:cs="宋体"/>
                <w:color w:val="000000"/>
                <w:kern w:val="0"/>
                <w:sz w:val="20"/>
                <w:szCs w:val="20"/>
              </w:rPr>
              <w:t>%</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sz w:val="22"/>
                <w:lang w:val="en-US" w:eastAsia="zh-CN"/>
              </w:rPr>
            </w:pPr>
            <w:r>
              <w:rPr>
                <w:rFonts w:hint="eastAsia" w:ascii="宋体" w:hAnsi="宋体" w:eastAsia="宋体" w:cs="宋体"/>
                <w:color w:val="000000"/>
                <w:kern w:val="0"/>
                <w:sz w:val="20"/>
                <w:szCs w:val="20"/>
                <w:lang w:val="en-US" w:eastAsia="zh-CN"/>
              </w:rPr>
              <w:t>96</w:t>
            </w:r>
          </w:p>
        </w:tc>
        <w:tc>
          <w:tcPr>
            <w:tcW w:w="10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2"/>
                <w:lang w:val="zh-CN"/>
              </w:rPr>
            </w:pPr>
            <w:r>
              <w:rPr>
                <w:rFonts w:hint="eastAsia" w:ascii="宋体" w:hAnsi="宋体" w:eastAsia="宋体" w:cs="宋体"/>
                <w:color w:val="000000"/>
                <w:kern w:val="0"/>
                <w:sz w:val="20"/>
                <w:szCs w:val="20"/>
              </w:rPr>
              <w:t>4</w:t>
            </w:r>
            <w:r>
              <w:rPr>
                <w:rFonts w:hint="eastAsia" w:ascii="宋体" w:hAnsi="宋体" w:eastAsia="宋体" w:cs="宋体"/>
                <w:color w:val="000000"/>
                <w:kern w:val="0"/>
                <w:sz w:val="20"/>
                <w:szCs w:val="20"/>
                <w:lang w:val="en-US" w:eastAsia="zh-CN"/>
              </w:rPr>
              <w:t>4.44</w:t>
            </w:r>
            <w:r>
              <w:rPr>
                <w:rFonts w:hint="eastAsia" w:ascii="宋体" w:hAnsi="宋体" w:eastAsia="宋体" w:cs="宋体"/>
                <w:color w:val="000000"/>
                <w:kern w:val="0"/>
                <w:sz w:val="20"/>
                <w:szCs w:val="20"/>
              </w:rPr>
              <w:t>%</w:t>
            </w:r>
          </w:p>
        </w:tc>
        <w:tc>
          <w:tcPr>
            <w:tcW w:w="1052"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 w:hAnsi="仿宋" w:eastAsia="仿宋" w:cs="仿宋"/>
                <w:sz w:val="20"/>
                <w:szCs w:val="20"/>
                <w:lang w:val="zh-CN"/>
              </w:rPr>
            </w:pPr>
            <w:r>
              <w:rPr>
                <w:rFonts w:hint="eastAsia" w:ascii="宋体" w:hAnsi="宋体" w:eastAsia="宋体" w:cs="宋体"/>
                <w:color w:val="000000"/>
                <w:kern w:val="0"/>
                <w:sz w:val="20"/>
                <w:szCs w:val="20"/>
                <w:lang w:val="en-US" w:eastAsia="zh-CN"/>
              </w:rPr>
              <w:t>31.02</w:t>
            </w:r>
            <w:r>
              <w:rPr>
                <w:rFonts w:hint="eastAsia" w:ascii="宋体" w:hAnsi="宋体" w:eastAsia="宋体" w:cs="宋体"/>
                <w:color w:val="000000"/>
                <w:kern w:val="0"/>
                <w:sz w:val="20"/>
                <w:szCs w:val="20"/>
              </w:rPr>
              <w:t>%</w:t>
            </w:r>
          </w:p>
        </w:tc>
      </w:tr>
      <w:tr>
        <w:tblPrEx>
          <w:tblLayout w:type="fixed"/>
          <w:tblCellMar>
            <w:top w:w="0" w:type="dxa"/>
            <w:left w:w="108" w:type="dxa"/>
            <w:bottom w:w="0" w:type="dxa"/>
            <w:right w:w="108" w:type="dxa"/>
          </w:tblCellMar>
        </w:tblPrEx>
        <w:trPr>
          <w:trHeight w:val="280" w:hRule="atLeast"/>
          <w:jc w:val="center"/>
        </w:trPr>
        <w:tc>
          <w:tcPr>
            <w:tcW w:w="65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sz w:val="22"/>
                <w:lang w:val="zh-CN"/>
              </w:rPr>
            </w:pPr>
            <w:r>
              <w:rPr>
                <w:rFonts w:hint="eastAsia" w:ascii="仿宋" w:hAnsi="仿宋" w:eastAsia="仿宋" w:cs="仿宋"/>
                <w:sz w:val="22"/>
                <w:lang w:val="zh-CN"/>
              </w:rPr>
              <w:t>3</w:t>
            </w:r>
          </w:p>
        </w:tc>
        <w:tc>
          <w:tcPr>
            <w:tcW w:w="14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sz w:val="22"/>
                <w:lang w:val="zh-CN"/>
              </w:rPr>
            </w:pPr>
            <w:r>
              <w:rPr>
                <w:rFonts w:hint="eastAsia" w:ascii="仿宋" w:hAnsi="仿宋" w:eastAsia="仿宋" w:cs="仿宋"/>
                <w:sz w:val="22"/>
                <w:lang w:val="zh-CN"/>
              </w:rPr>
              <w:t>民一庭</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sz w:val="22"/>
                <w:lang w:val="en-US" w:eastAsia="zh-CN"/>
              </w:rPr>
            </w:pPr>
            <w:r>
              <w:rPr>
                <w:rFonts w:hint="eastAsia" w:ascii="宋体" w:hAnsi="宋体" w:eastAsia="宋体" w:cs="宋体"/>
                <w:color w:val="000000"/>
                <w:kern w:val="0"/>
                <w:sz w:val="20"/>
                <w:szCs w:val="20"/>
                <w:lang w:val="en-US" w:eastAsia="zh-CN"/>
              </w:rPr>
              <w:t>230</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宋体" w:cs="仿宋"/>
                <w:sz w:val="22"/>
                <w:lang w:val="en-US"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5</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2"/>
                <w:lang w:val="zh-CN"/>
              </w:rPr>
            </w:pPr>
            <w:r>
              <w:rPr>
                <w:rFonts w:hint="eastAsia" w:ascii="宋体" w:hAnsi="宋体" w:eastAsia="宋体" w:cs="宋体"/>
                <w:color w:val="000000"/>
                <w:kern w:val="0"/>
                <w:sz w:val="20"/>
                <w:szCs w:val="20"/>
                <w:lang w:val="en-US" w:eastAsia="zh-CN"/>
              </w:rPr>
              <w:t>15.22</w:t>
            </w:r>
            <w:r>
              <w:rPr>
                <w:rFonts w:hint="eastAsia" w:ascii="宋体" w:hAnsi="宋体" w:eastAsia="宋体" w:cs="宋体"/>
                <w:color w:val="000000"/>
                <w:kern w:val="0"/>
                <w:sz w:val="20"/>
                <w:szCs w:val="20"/>
              </w:rPr>
              <w:t>%</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sz w:val="22"/>
                <w:lang w:val="en-US" w:eastAsia="zh-CN"/>
              </w:rPr>
            </w:pPr>
            <w:r>
              <w:rPr>
                <w:rFonts w:hint="eastAsia" w:ascii="仿宋" w:hAnsi="仿宋" w:eastAsia="仿宋" w:cs="仿宋"/>
                <w:sz w:val="22"/>
                <w:lang w:val="en-US" w:eastAsia="zh-CN"/>
              </w:rPr>
              <w:t>54</w:t>
            </w:r>
          </w:p>
        </w:tc>
        <w:tc>
          <w:tcPr>
            <w:tcW w:w="10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2"/>
                <w:lang w:val="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3.48</w:t>
            </w:r>
            <w:r>
              <w:rPr>
                <w:rFonts w:hint="eastAsia" w:ascii="宋体" w:hAnsi="宋体" w:eastAsia="宋体" w:cs="宋体"/>
                <w:color w:val="000000"/>
                <w:kern w:val="0"/>
                <w:sz w:val="20"/>
                <w:szCs w:val="20"/>
              </w:rPr>
              <w:t>%</w:t>
            </w:r>
          </w:p>
        </w:tc>
        <w:tc>
          <w:tcPr>
            <w:tcW w:w="1052"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 w:hAnsi="仿宋" w:eastAsia="仿宋" w:cs="仿宋"/>
                <w:sz w:val="20"/>
                <w:szCs w:val="20"/>
                <w:lang w:val="zh-CN"/>
              </w:rPr>
            </w:pPr>
            <w:r>
              <w:rPr>
                <w:rFonts w:hint="eastAsia" w:ascii="宋体" w:hAnsi="宋体" w:eastAsia="宋体" w:cs="宋体"/>
                <w:color w:val="000000"/>
                <w:kern w:val="0"/>
                <w:sz w:val="20"/>
                <w:szCs w:val="20"/>
                <w:lang w:val="en-US" w:eastAsia="zh-CN"/>
              </w:rPr>
              <w:t>15.22</w:t>
            </w:r>
            <w:r>
              <w:rPr>
                <w:rFonts w:hint="eastAsia" w:ascii="宋体" w:hAnsi="宋体" w:eastAsia="宋体" w:cs="宋体"/>
                <w:color w:val="000000"/>
                <w:kern w:val="0"/>
                <w:sz w:val="20"/>
                <w:szCs w:val="20"/>
              </w:rPr>
              <w:t>%</w:t>
            </w:r>
          </w:p>
        </w:tc>
      </w:tr>
      <w:tr>
        <w:tblPrEx>
          <w:tblLayout w:type="fixed"/>
          <w:tblCellMar>
            <w:top w:w="0" w:type="dxa"/>
            <w:left w:w="108" w:type="dxa"/>
            <w:bottom w:w="0" w:type="dxa"/>
            <w:right w:w="108" w:type="dxa"/>
          </w:tblCellMar>
        </w:tblPrEx>
        <w:trPr>
          <w:jc w:val="center"/>
        </w:trPr>
        <w:tc>
          <w:tcPr>
            <w:tcW w:w="65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sz w:val="22"/>
                <w:lang w:val="zh-CN"/>
              </w:rPr>
            </w:pPr>
            <w:r>
              <w:rPr>
                <w:rFonts w:hint="eastAsia" w:ascii="仿宋" w:hAnsi="仿宋" w:eastAsia="仿宋" w:cs="仿宋"/>
                <w:sz w:val="22"/>
                <w:lang w:val="zh-CN"/>
              </w:rPr>
              <w:t>4</w:t>
            </w:r>
          </w:p>
        </w:tc>
        <w:tc>
          <w:tcPr>
            <w:tcW w:w="14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textAlignment w:val="baseline"/>
              <w:rPr>
                <w:rFonts w:ascii="仿宋" w:hAnsi="仿宋" w:eastAsia="仿宋" w:cs="仿宋"/>
                <w:sz w:val="22"/>
                <w:lang w:val="zh-CN"/>
              </w:rPr>
            </w:pPr>
            <w:r>
              <w:rPr>
                <w:rFonts w:hint="eastAsia" w:ascii="仿宋" w:hAnsi="仿宋" w:eastAsia="仿宋" w:cs="仿宋"/>
                <w:sz w:val="22"/>
                <w:lang w:val="zh-CN"/>
              </w:rPr>
              <w:t>民二庭</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sz w:val="22"/>
                <w:lang w:val="en-US" w:eastAsia="zh-CN"/>
              </w:rPr>
            </w:pPr>
            <w:r>
              <w:rPr>
                <w:rFonts w:hint="eastAsia" w:ascii="宋体" w:hAnsi="宋体" w:eastAsia="宋体" w:cs="宋体"/>
                <w:color w:val="000000"/>
                <w:kern w:val="0"/>
                <w:sz w:val="20"/>
                <w:szCs w:val="20"/>
                <w:lang w:val="en-US" w:eastAsia="zh-CN"/>
              </w:rPr>
              <w:t>305</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宋体" w:cs="仿宋"/>
                <w:sz w:val="22"/>
                <w:lang w:val="en-US" w:eastAsia="zh-CN"/>
              </w:rPr>
            </w:pPr>
            <w:r>
              <w:rPr>
                <w:rFonts w:hint="eastAsia" w:ascii="宋体" w:hAnsi="宋体" w:eastAsia="宋体" w:cs="宋体"/>
                <w:color w:val="000000"/>
                <w:kern w:val="0"/>
                <w:sz w:val="20"/>
                <w:szCs w:val="20"/>
              </w:rPr>
              <w:t>4</w:t>
            </w:r>
            <w:r>
              <w:rPr>
                <w:rFonts w:hint="eastAsia" w:ascii="宋体" w:hAnsi="宋体" w:eastAsia="宋体" w:cs="宋体"/>
                <w:color w:val="000000"/>
                <w:kern w:val="0"/>
                <w:sz w:val="20"/>
                <w:szCs w:val="20"/>
                <w:lang w:val="en-US" w:eastAsia="zh-CN"/>
              </w:rPr>
              <w:t>3</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2"/>
                <w:lang w:val="zh-CN"/>
              </w:rPr>
            </w:pPr>
            <w:r>
              <w:rPr>
                <w:rFonts w:hint="eastAsia" w:ascii="宋体" w:hAnsi="宋体" w:eastAsia="宋体" w:cs="宋体"/>
                <w:color w:val="000000"/>
                <w:kern w:val="0"/>
                <w:sz w:val="20"/>
                <w:szCs w:val="20"/>
                <w:lang w:val="en-US" w:eastAsia="zh-CN"/>
              </w:rPr>
              <w:t>14.10</w:t>
            </w:r>
            <w:r>
              <w:rPr>
                <w:rFonts w:hint="eastAsia" w:ascii="宋体" w:hAnsi="宋体" w:eastAsia="宋体" w:cs="宋体"/>
                <w:color w:val="000000"/>
                <w:kern w:val="0"/>
                <w:sz w:val="20"/>
                <w:szCs w:val="20"/>
              </w:rPr>
              <w:t>%</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sz w:val="22"/>
                <w:lang w:val="en-US" w:eastAsia="zh-CN"/>
              </w:rPr>
            </w:pPr>
            <w:r>
              <w:rPr>
                <w:rFonts w:hint="eastAsia" w:ascii="仿宋" w:hAnsi="仿宋" w:eastAsia="仿宋" w:cs="仿宋"/>
                <w:sz w:val="22"/>
                <w:lang w:val="en-US" w:eastAsia="zh-CN"/>
              </w:rPr>
              <w:t>71</w:t>
            </w:r>
          </w:p>
        </w:tc>
        <w:tc>
          <w:tcPr>
            <w:tcW w:w="10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2"/>
                <w:lang w:val="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3.28</w:t>
            </w:r>
            <w:r>
              <w:rPr>
                <w:rFonts w:hint="eastAsia" w:ascii="宋体" w:hAnsi="宋体" w:eastAsia="宋体" w:cs="宋体"/>
                <w:color w:val="000000"/>
                <w:kern w:val="0"/>
                <w:sz w:val="20"/>
                <w:szCs w:val="20"/>
              </w:rPr>
              <w:t>%</w:t>
            </w:r>
          </w:p>
        </w:tc>
        <w:tc>
          <w:tcPr>
            <w:tcW w:w="1052"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仿宋" w:hAnsi="仿宋" w:eastAsia="仿宋" w:cs="仿宋"/>
                <w:sz w:val="20"/>
                <w:szCs w:val="20"/>
                <w:lang w:val="zh-CN"/>
              </w:rPr>
            </w:pPr>
            <w:r>
              <w:rPr>
                <w:rFonts w:hint="eastAsia" w:ascii="宋体" w:hAnsi="宋体" w:eastAsia="宋体" w:cs="宋体"/>
                <w:color w:val="000000"/>
                <w:kern w:val="0"/>
                <w:sz w:val="20"/>
                <w:szCs w:val="20"/>
                <w:lang w:val="en-US" w:eastAsia="zh-CN"/>
              </w:rPr>
              <w:t>14.10</w:t>
            </w:r>
            <w:r>
              <w:rPr>
                <w:rFonts w:hint="eastAsia" w:ascii="宋体" w:hAnsi="宋体" w:eastAsia="宋体" w:cs="宋体"/>
                <w:color w:val="000000"/>
                <w:kern w:val="0"/>
                <w:sz w:val="20"/>
                <w:szCs w:val="20"/>
              </w:rPr>
              <w:t>%</w:t>
            </w:r>
          </w:p>
        </w:tc>
      </w:tr>
      <w:tr>
        <w:tblPrEx>
          <w:tblLayout w:type="fixed"/>
          <w:tblCellMar>
            <w:top w:w="0" w:type="dxa"/>
            <w:left w:w="108" w:type="dxa"/>
            <w:bottom w:w="0" w:type="dxa"/>
            <w:right w:w="108" w:type="dxa"/>
          </w:tblCellMar>
        </w:tblPrEx>
        <w:trPr>
          <w:jc w:val="center"/>
        </w:trPr>
        <w:tc>
          <w:tcPr>
            <w:tcW w:w="659" w:type="dxa"/>
            <w:tcBorders>
              <w:top w:val="single" w:color="auto" w:sz="4" w:space="0"/>
              <w:left w:val="single" w:color="auto" w:sz="4" w:space="0"/>
              <w:bottom w:val="single" w:color="auto" w:sz="4" w:space="0"/>
              <w:right w:val="single" w:color="auto" w:sz="4" w:space="0"/>
            </w:tcBorders>
            <w:shd w:val="clear" w:color="auto" w:fill="FFFF99"/>
            <w:noWrap/>
            <w:vAlign w:val="center"/>
          </w:tcPr>
          <w:p>
            <w:pPr>
              <w:autoSpaceDE w:val="0"/>
              <w:autoSpaceDN w:val="0"/>
              <w:adjustRightInd w:val="0"/>
              <w:snapToGrid w:val="0"/>
              <w:spacing w:line="320" w:lineRule="exact"/>
              <w:jc w:val="center"/>
              <w:textAlignment w:val="baseline"/>
              <w:rPr>
                <w:rFonts w:ascii="仿宋" w:hAnsi="仿宋" w:eastAsia="仿宋" w:cs="仿宋"/>
                <w:sz w:val="22"/>
              </w:rPr>
            </w:pPr>
            <w:r>
              <w:rPr>
                <w:rFonts w:hint="eastAsia" w:ascii="仿宋" w:hAnsi="仿宋" w:eastAsia="仿宋" w:cs="仿宋"/>
                <w:sz w:val="22"/>
              </w:rPr>
              <w:t>5</w:t>
            </w:r>
          </w:p>
        </w:tc>
        <w:tc>
          <w:tcPr>
            <w:tcW w:w="1438" w:type="dxa"/>
            <w:tcBorders>
              <w:top w:val="single" w:color="auto" w:sz="4" w:space="0"/>
              <w:left w:val="single" w:color="auto" w:sz="4" w:space="0"/>
              <w:bottom w:val="single" w:color="auto" w:sz="4" w:space="0"/>
              <w:right w:val="single" w:color="auto" w:sz="4" w:space="0"/>
            </w:tcBorders>
            <w:shd w:val="clear" w:color="auto" w:fill="FFFF99"/>
            <w:noWrap/>
            <w:vAlign w:val="center"/>
          </w:tcPr>
          <w:p>
            <w:pPr>
              <w:autoSpaceDE w:val="0"/>
              <w:autoSpaceDN w:val="0"/>
              <w:adjustRightInd w:val="0"/>
              <w:snapToGrid w:val="0"/>
              <w:spacing w:line="320" w:lineRule="exact"/>
              <w:jc w:val="center"/>
              <w:textAlignment w:val="baseline"/>
              <w:rPr>
                <w:rFonts w:ascii="仿宋" w:hAnsi="仿宋" w:eastAsia="仿宋" w:cs="仿宋"/>
                <w:sz w:val="22"/>
                <w:lang w:val="zh-CN"/>
              </w:rPr>
            </w:pPr>
            <w:r>
              <w:rPr>
                <w:rFonts w:hint="eastAsia" w:ascii="仿宋" w:hAnsi="仿宋" w:eastAsia="仿宋" w:cs="仿宋"/>
                <w:sz w:val="22"/>
                <w:lang w:val="zh-CN"/>
              </w:rPr>
              <w:t>全 院</w:t>
            </w:r>
          </w:p>
        </w:tc>
        <w:tc>
          <w:tcPr>
            <w:tcW w:w="1079" w:type="dxa"/>
            <w:tcBorders>
              <w:top w:val="single" w:color="auto" w:sz="4" w:space="0"/>
              <w:left w:val="single" w:color="auto" w:sz="4" w:space="0"/>
              <w:bottom w:val="single" w:color="auto" w:sz="4" w:space="0"/>
              <w:right w:val="single" w:color="auto" w:sz="4" w:space="0"/>
            </w:tcBorders>
            <w:shd w:val="clear" w:color="auto" w:fill="FFFF99"/>
            <w:noWrap/>
            <w:vAlign w:val="center"/>
          </w:tcPr>
          <w:p>
            <w:pPr>
              <w:widowControl/>
              <w:jc w:val="center"/>
              <w:textAlignment w:val="center"/>
              <w:rPr>
                <w:rFonts w:hint="default" w:ascii="仿宋" w:hAnsi="仿宋" w:eastAsia="仿宋" w:cs="仿宋"/>
                <w:sz w:val="22"/>
                <w:lang w:val="en-US" w:eastAsia="zh-CN"/>
              </w:rPr>
            </w:pPr>
            <w:r>
              <w:rPr>
                <w:rFonts w:hint="eastAsia" w:ascii="宋体" w:hAnsi="宋体" w:eastAsia="宋体" w:cs="宋体"/>
                <w:color w:val="000000"/>
                <w:kern w:val="0"/>
                <w:sz w:val="20"/>
                <w:szCs w:val="20"/>
                <w:lang w:val="en-US" w:eastAsia="zh-CN"/>
              </w:rPr>
              <w:t>838</w:t>
            </w:r>
          </w:p>
        </w:tc>
        <w:tc>
          <w:tcPr>
            <w:tcW w:w="1078" w:type="dxa"/>
            <w:tcBorders>
              <w:top w:val="single" w:color="auto" w:sz="4" w:space="0"/>
              <w:left w:val="single" w:color="auto" w:sz="4" w:space="0"/>
              <w:bottom w:val="single" w:color="auto" w:sz="4" w:space="0"/>
              <w:right w:val="single" w:color="auto" w:sz="4" w:space="0"/>
            </w:tcBorders>
            <w:shd w:val="clear" w:color="auto" w:fill="FFFF99"/>
            <w:noWrap/>
            <w:vAlign w:val="center"/>
          </w:tcPr>
          <w:p>
            <w:pPr>
              <w:widowControl/>
              <w:jc w:val="center"/>
              <w:textAlignment w:val="center"/>
              <w:rPr>
                <w:rFonts w:hint="default" w:ascii="仿宋" w:hAnsi="仿宋" w:eastAsia="宋体" w:cs="仿宋"/>
                <w:sz w:val="22"/>
                <w:lang w:val="en-US" w:eastAsia="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57</w:t>
            </w:r>
          </w:p>
        </w:tc>
        <w:tc>
          <w:tcPr>
            <w:tcW w:w="1079" w:type="dxa"/>
            <w:tcBorders>
              <w:top w:val="single" w:color="auto" w:sz="4" w:space="0"/>
              <w:left w:val="single" w:color="auto" w:sz="4" w:space="0"/>
              <w:bottom w:val="single" w:color="auto" w:sz="4" w:space="0"/>
              <w:right w:val="single" w:color="auto" w:sz="4" w:space="0"/>
            </w:tcBorders>
            <w:shd w:val="clear" w:color="auto" w:fill="FFFF99"/>
            <w:noWrap/>
            <w:vAlign w:val="center"/>
          </w:tcPr>
          <w:p>
            <w:pPr>
              <w:widowControl/>
              <w:jc w:val="center"/>
              <w:textAlignment w:val="center"/>
              <w:rPr>
                <w:rFonts w:ascii="仿宋" w:hAnsi="仿宋" w:eastAsia="仿宋" w:cs="仿宋"/>
                <w:sz w:val="22"/>
                <w:lang w:val="zh-CN"/>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CN"/>
              </w:rPr>
              <w:t>8.74</w:t>
            </w:r>
            <w:r>
              <w:rPr>
                <w:rFonts w:hint="eastAsia" w:ascii="宋体" w:hAnsi="宋体" w:eastAsia="宋体" w:cs="宋体"/>
                <w:color w:val="000000"/>
                <w:kern w:val="0"/>
                <w:sz w:val="20"/>
                <w:szCs w:val="20"/>
              </w:rPr>
              <w:t>%</w:t>
            </w:r>
          </w:p>
        </w:tc>
        <w:tc>
          <w:tcPr>
            <w:tcW w:w="1068" w:type="dxa"/>
            <w:tcBorders>
              <w:top w:val="single" w:color="auto" w:sz="4" w:space="0"/>
              <w:left w:val="single" w:color="auto" w:sz="4" w:space="0"/>
              <w:bottom w:val="single" w:color="auto" w:sz="4" w:space="0"/>
              <w:right w:val="single" w:color="auto" w:sz="4" w:space="0"/>
            </w:tcBorders>
            <w:shd w:val="clear" w:color="auto" w:fill="FFFF99"/>
            <w:noWrap/>
            <w:vAlign w:val="center"/>
          </w:tcPr>
          <w:p>
            <w:pPr>
              <w:widowControl/>
              <w:jc w:val="center"/>
              <w:textAlignment w:val="center"/>
              <w:rPr>
                <w:rFonts w:hint="default" w:ascii="仿宋" w:hAnsi="仿宋" w:eastAsia="宋体" w:cs="仿宋"/>
                <w:sz w:val="22"/>
                <w:lang w:val="en-US"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49</w:t>
            </w:r>
          </w:p>
        </w:tc>
        <w:tc>
          <w:tcPr>
            <w:tcW w:w="1066" w:type="dxa"/>
            <w:tcBorders>
              <w:top w:val="single" w:color="auto" w:sz="4" w:space="0"/>
              <w:left w:val="single" w:color="auto" w:sz="4" w:space="0"/>
              <w:bottom w:val="single" w:color="auto" w:sz="4" w:space="0"/>
              <w:right w:val="single" w:color="auto" w:sz="4" w:space="0"/>
            </w:tcBorders>
            <w:shd w:val="clear" w:color="auto" w:fill="FFFF99"/>
            <w:noWrap/>
            <w:vAlign w:val="center"/>
          </w:tcPr>
          <w:p>
            <w:pPr>
              <w:widowControl/>
              <w:jc w:val="center"/>
              <w:textAlignment w:val="center"/>
              <w:rPr>
                <w:rFonts w:ascii="仿宋" w:hAnsi="仿宋" w:eastAsia="仿宋" w:cs="仿宋"/>
                <w:sz w:val="22"/>
                <w:lang w:val="zh-CN"/>
              </w:rPr>
            </w:pPr>
            <w:r>
              <w:rPr>
                <w:rFonts w:hint="eastAsia" w:ascii="宋体" w:hAnsi="宋体" w:eastAsia="宋体" w:cs="宋体"/>
                <w:color w:val="000000"/>
                <w:kern w:val="0"/>
                <w:sz w:val="20"/>
                <w:szCs w:val="20"/>
              </w:rPr>
              <w:t>29.</w:t>
            </w:r>
            <w:r>
              <w:rPr>
                <w:rFonts w:hint="eastAsia" w:ascii="宋体" w:hAnsi="宋体" w:eastAsia="宋体" w:cs="宋体"/>
                <w:color w:val="000000"/>
                <w:kern w:val="0"/>
                <w:sz w:val="20"/>
                <w:szCs w:val="20"/>
                <w:lang w:val="en-US" w:eastAsia="zh-CN"/>
              </w:rPr>
              <w:t>71</w:t>
            </w:r>
            <w:r>
              <w:rPr>
                <w:rFonts w:hint="eastAsia" w:ascii="宋体" w:hAnsi="宋体" w:eastAsia="宋体" w:cs="宋体"/>
                <w:color w:val="000000"/>
                <w:kern w:val="0"/>
                <w:sz w:val="20"/>
                <w:szCs w:val="20"/>
              </w:rPr>
              <w:t>%</w:t>
            </w:r>
          </w:p>
        </w:tc>
        <w:tc>
          <w:tcPr>
            <w:tcW w:w="1052" w:type="dxa"/>
            <w:tcBorders>
              <w:top w:val="single" w:color="auto" w:sz="4" w:space="0"/>
              <w:left w:val="single" w:color="auto" w:sz="4" w:space="0"/>
              <w:bottom w:val="single" w:color="auto" w:sz="4" w:space="0"/>
              <w:right w:val="single" w:color="auto" w:sz="4" w:space="0"/>
            </w:tcBorders>
            <w:shd w:val="clear" w:color="auto" w:fill="FFFF99"/>
            <w:noWrap/>
            <w:vAlign w:val="center"/>
          </w:tcPr>
          <w:p>
            <w:pPr>
              <w:widowControl/>
              <w:jc w:val="right"/>
              <w:textAlignment w:val="center"/>
              <w:rPr>
                <w:rFonts w:ascii="仿宋" w:hAnsi="仿宋" w:eastAsia="仿宋" w:cs="仿宋"/>
                <w:sz w:val="20"/>
                <w:szCs w:val="20"/>
                <w:lang w:val="zh-CN"/>
              </w:rPr>
            </w:pPr>
            <w:r>
              <w:rPr>
                <w:rFonts w:hint="eastAsia" w:ascii="宋体" w:hAnsi="宋体" w:eastAsia="宋体" w:cs="宋体"/>
                <w:color w:val="000000"/>
                <w:kern w:val="0"/>
                <w:sz w:val="20"/>
                <w:szCs w:val="20"/>
                <w:lang w:val="en-US" w:eastAsia="zh-CN"/>
              </w:rPr>
              <w:t>18.74</w:t>
            </w:r>
            <w:r>
              <w:rPr>
                <w:rFonts w:hint="eastAsia" w:ascii="宋体" w:hAnsi="宋体" w:eastAsia="宋体" w:cs="宋体"/>
                <w:color w:val="000000"/>
                <w:kern w:val="0"/>
                <w:sz w:val="20"/>
                <w:szCs w:val="20"/>
              </w:rPr>
              <w:t>%</w:t>
            </w:r>
          </w:p>
        </w:tc>
      </w:tr>
    </w:tbl>
    <w:p>
      <w:pPr>
        <w:rPr>
          <w:rFonts w:ascii="黑体" w:hAnsi="黑体" w:eastAsia="黑体"/>
        </w:rPr>
      </w:pPr>
    </w:p>
    <w:p>
      <w:pPr>
        <w:ind w:firstLine="643" w:firstLineChars="200"/>
        <w:outlineLvl w:val="0"/>
        <w:rPr>
          <w:rFonts w:ascii="仿宋_GB2312" w:eastAsia="仿宋_GB2312"/>
          <w:b/>
          <w:sz w:val="32"/>
          <w:szCs w:val="32"/>
        </w:rPr>
      </w:pPr>
      <w:r>
        <w:rPr>
          <w:rFonts w:hint="eastAsia" w:ascii="仿宋_GB2312" w:eastAsia="仿宋_GB2312"/>
          <w:b/>
          <w:sz w:val="32"/>
          <w:szCs w:val="32"/>
        </w:rPr>
        <w:t>三、建议及说明</w:t>
      </w:r>
    </w:p>
    <w:p>
      <w:pPr>
        <w:ind w:firstLine="640" w:firstLineChars="200"/>
        <w:rPr>
          <w:rFonts w:ascii="仿宋_GB2312" w:eastAsia="仿宋_GB2312"/>
          <w:sz w:val="32"/>
          <w:szCs w:val="32"/>
        </w:rPr>
      </w:pPr>
      <w:r>
        <w:rPr>
          <w:rFonts w:hint="eastAsia" w:ascii="仿宋_GB2312" w:eastAsia="仿宋_GB2312"/>
          <w:sz w:val="32"/>
          <w:szCs w:val="32"/>
        </w:rPr>
        <w:t>（一）目前</w:t>
      </w:r>
      <w:r>
        <w:rPr>
          <w:rFonts w:ascii="仿宋_GB2312" w:eastAsia="仿宋_GB2312"/>
          <w:sz w:val="32"/>
          <w:szCs w:val="32"/>
        </w:rPr>
        <w:t>我院人均</w:t>
      </w:r>
      <w:r>
        <w:rPr>
          <w:rFonts w:hint="eastAsia" w:ascii="仿宋_GB2312" w:eastAsia="仿宋_GB2312"/>
          <w:sz w:val="32"/>
          <w:szCs w:val="32"/>
        </w:rPr>
        <w:t>审结诉讼案件</w:t>
      </w:r>
      <w:r>
        <w:rPr>
          <w:rFonts w:ascii="仿宋_GB2312" w:eastAsia="仿宋_GB2312"/>
          <w:sz w:val="32"/>
          <w:szCs w:val="32"/>
        </w:rPr>
        <w:t>数</w:t>
      </w:r>
      <w:r>
        <w:rPr>
          <w:rFonts w:hint="eastAsia" w:ascii="仿宋_GB2312" w:eastAsia="仿宋_GB2312"/>
          <w:sz w:val="32"/>
          <w:szCs w:val="32"/>
        </w:rPr>
        <w:t>排位靠后及诉讼</w:t>
      </w:r>
      <w:r>
        <w:rPr>
          <w:rFonts w:ascii="仿宋_GB2312" w:eastAsia="仿宋_GB2312"/>
          <w:sz w:val="32"/>
          <w:szCs w:val="32"/>
        </w:rPr>
        <w:t>案件</w:t>
      </w:r>
      <w:r>
        <w:rPr>
          <w:rFonts w:hint="eastAsia" w:ascii="仿宋_GB2312" w:eastAsia="仿宋_GB2312"/>
          <w:sz w:val="32"/>
          <w:szCs w:val="32"/>
        </w:rPr>
        <w:t>平均</w:t>
      </w:r>
      <w:r>
        <w:rPr>
          <w:rFonts w:ascii="仿宋_GB2312" w:eastAsia="仿宋_GB2312"/>
          <w:sz w:val="32"/>
          <w:szCs w:val="32"/>
        </w:rPr>
        <w:t>审理天数</w:t>
      </w:r>
      <w:r>
        <w:rPr>
          <w:rFonts w:hint="eastAsia" w:ascii="仿宋_GB2312" w:eastAsia="仿宋_GB2312"/>
          <w:sz w:val="32"/>
          <w:szCs w:val="32"/>
        </w:rPr>
        <w:t>过长</w:t>
      </w:r>
      <w:r>
        <w:rPr>
          <w:rFonts w:ascii="仿宋_GB2312" w:eastAsia="仿宋_GB2312"/>
          <w:sz w:val="32"/>
          <w:szCs w:val="32"/>
        </w:rPr>
        <w:t>，</w:t>
      </w:r>
      <w:r>
        <w:rPr>
          <w:rFonts w:hint="eastAsia" w:ascii="仿宋_GB2312" w:eastAsia="仿宋_GB2312"/>
          <w:sz w:val="32"/>
          <w:szCs w:val="32"/>
        </w:rPr>
        <w:t>希望大家</w:t>
      </w:r>
      <w:r>
        <w:rPr>
          <w:rFonts w:ascii="仿宋_GB2312" w:eastAsia="仿宋_GB2312"/>
          <w:sz w:val="32"/>
          <w:szCs w:val="32"/>
        </w:rPr>
        <w:t>继续加大结案力度，并缩短审限。</w:t>
      </w:r>
    </w:p>
    <w:p>
      <w:pPr>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电子卷宗</w:t>
      </w:r>
      <w:r>
        <w:rPr>
          <w:rFonts w:ascii="仿宋_GB2312" w:eastAsia="仿宋_GB2312"/>
          <w:sz w:val="32"/>
          <w:szCs w:val="32"/>
        </w:rPr>
        <w:t>深度应用工作指标当中，我院电子卷宗网上阅卷投入应用比率及电子卷宗</w:t>
      </w:r>
      <w:r>
        <w:rPr>
          <w:rFonts w:hint="eastAsia" w:ascii="仿宋_GB2312" w:eastAsia="仿宋_GB2312"/>
          <w:sz w:val="32"/>
          <w:szCs w:val="32"/>
        </w:rPr>
        <w:t>文书</w:t>
      </w:r>
      <w:r>
        <w:rPr>
          <w:rFonts w:ascii="仿宋_GB2312" w:eastAsia="仿宋_GB2312"/>
          <w:sz w:val="32"/>
          <w:szCs w:val="32"/>
        </w:rPr>
        <w:t>生成比率未达标</w:t>
      </w:r>
      <w:r>
        <w:rPr>
          <w:rFonts w:hint="eastAsia" w:ascii="仿宋_GB2312" w:eastAsia="仿宋_GB2312"/>
          <w:sz w:val="32"/>
          <w:szCs w:val="32"/>
        </w:rPr>
        <w:t>。</w:t>
      </w:r>
      <w:r>
        <w:rPr>
          <w:rFonts w:ascii="仿宋_GB2312" w:eastAsia="仿宋_GB2312"/>
          <w:sz w:val="32"/>
          <w:szCs w:val="32"/>
        </w:rPr>
        <w:t>希望</w:t>
      </w:r>
      <w:r>
        <w:rPr>
          <w:rFonts w:hint="eastAsia" w:ascii="仿宋_GB2312" w:eastAsia="仿宋_GB2312"/>
          <w:sz w:val="32"/>
          <w:szCs w:val="32"/>
        </w:rPr>
        <w:t>大家</w:t>
      </w:r>
      <w:r>
        <w:rPr>
          <w:rFonts w:ascii="仿宋_GB2312" w:eastAsia="仿宋_GB2312"/>
          <w:sz w:val="32"/>
          <w:szCs w:val="32"/>
        </w:rPr>
        <w:t>在今后</w:t>
      </w:r>
      <w:r>
        <w:rPr>
          <w:rFonts w:hint="eastAsia" w:ascii="仿宋_GB2312" w:eastAsia="仿宋_GB2312"/>
          <w:sz w:val="32"/>
          <w:szCs w:val="32"/>
        </w:rPr>
        <w:t>制作</w:t>
      </w:r>
      <w:r>
        <w:rPr>
          <w:rFonts w:ascii="仿宋_GB2312" w:eastAsia="仿宋_GB2312"/>
          <w:sz w:val="32"/>
          <w:szCs w:val="32"/>
        </w:rPr>
        <w:t>法律文书</w:t>
      </w:r>
      <w:r>
        <w:rPr>
          <w:rFonts w:hint="eastAsia" w:ascii="仿宋_GB2312" w:eastAsia="仿宋_GB2312"/>
          <w:sz w:val="32"/>
          <w:szCs w:val="32"/>
        </w:rPr>
        <w:t>时，一定要达到每件</w:t>
      </w:r>
      <w:r>
        <w:rPr>
          <w:rFonts w:ascii="仿宋_GB2312" w:eastAsia="仿宋_GB2312"/>
          <w:sz w:val="32"/>
          <w:szCs w:val="32"/>
        </w:rPr>
        <w:t>案件都要经过</w:t>
      </w:r>
      <w:r>
        <w:rPr>
          <w:rFonts w:hint="eastAsia" w:ascii="仿宋_GB2312" w:hAnsi="黑体" w:eastAsia="仿宋_GB2312"/>
          <w:sz w:val="32"/>
          <w:szCs w:val="32"/>
        </w:rPr>
        <w:t>电</w:t>
      </w:r>
      <w:r>
        <w:rPr>
          <w:rFonts w:ascii="仿宋_GB2312" w:eastAsia="仿宋_GB2312"/>
          <w:sz w:val="32"/>
          <w:szCs w:val="32"/>
        </w:rPr>
        <w:t>子卷宗</w:t>
      </w:r>
      <w:r>
        <w:rPr>
          <w:rFonts w:hint="eastAsia" w:ascii="仿宋_GB2312" w:eastAsia="仿宋_GB2312"/>
          <w:sz w:val="32"/>
          <w:szCs w:val="32"/>
        </w:rPr>
        <w:t>生成</w:t>
      </w:r>
      <w:r>
        <w:rPr>
          <w:rFonts w:ascii="仿宋_GB2312" w:eastAsia="仿宋_GB2312"/>
          <w:sz w:val="32"/>
          <w:szCs w:val="32"/>
        </w:rPr>
        <w:t>法律文书。</w:t>
      </w:r>
      <w:r>
        <w:rPr>
          <w:rFonts w:hint="eastAsia" w:ascii="仿宋_GB2312" w:eastAsia="仿宋_GB2312"/>
          <w:sz w:val="32"/>
          <w:szCs w:val="32"/>
        </w:rPr>
        <w:t>审管办每周</w:t>
      </w:r>
      <w:r>
        <w:rPr>
          <w:rFonts w:ascii="仿宋_GB2312" w:eastAsia="仿宋_GB2312"/>
          <w:sz w:val="32"/>
          <w:szCs w:val="32"/>
        </w:rPr>
        <w:t>将</w:t>
      </w:r>
      <w:r>
        <w:rPr>
          <w:rFonts w:hint="eastAsia" w:ascii="仿宋_GB2312" w:eastAsia="仿宋_GB2312"/>
          <w:sz w:val="32"/>
          <w:szCs w:val="32"/>
        </w:rPr>
        <w:t>每名</w:t>
      </w:r>
      <w:r>
        <w:rPr>
          <w:rFonts w:ascii="仿宋_GB2312" w:eastAsia="仿宋_GB2312"/>
          <w:sz w:val="32"/>
          <w:szCs w:val="32"/>
        </w:rPr>
        <w:t>员额法官电子卷宗</w:t>
      </w:r>
      <w:r>
        <w:rPr>
          <w:rFonts w:hint="eastAsia" w:ascii="仿宋_GB2312" w:eastAsia="仿宋_GB2312"/>
          <w:sz w:val="32"/>
          <w:szCs w:val="32"/>
        </w:rPr>
        <w:t>文书</w:t>
      </w:r>
      <w:r>
        <w:rPr>
          <w:rFonts w:ascii="仿宋_GB2312" w:eastAsia="仿宋_GB2312"/>
          <w:sz w:val="32"/>
          <w:szCs w:val="32"/>
        </w:rPr>
        <w:t>生成比率</w:t>
      </w:r>
      <w:r>
        <w:rPr>
          <w:rFonts w:hint="eastAsia" w:ascii="仿宋_GB2312" w:eastAsia="仿宋_GB2312"/>
          <w:sz w:val="32"/>
          <w:szCs w:val="32"/>
        </w:rPr>
        <w:t>、</w:t>
      </w:r>
      <w:r>
        <w:rPr>
          <w:rFonts w:ascii="仿宋_GB2312" w:eastAsia="仿宋_GB2312"/>
          <w:sz w:val="32"/>
          <w:szCs w:val="32"/>
        </w:rPr>
        <w:t>庭审直播率</w:t>
      </w:r>
      <w:r>
        <w:rPr>
          <w:rFonts w:hint="eastAsia" w:ascii="仿宋_GB2312" w:eastAsia="仿宋_GB2312"/>
          <w:sz w:val="32"/>
          <w:szCs w:val="32"/>
        </w:rPr>
        <w:t>、</w:t>
      </w:r>
      <w:r>
        <w:rPr>
          <w:rFonts w:ascii="仿宋_GB2312" w:eastAsia="仿宋_GB2312"/>
          <w:sz w:val="32"/>
          <w:szCs w:val="32"/>
        </w:rPr>
        <w:t>长期未结</w:t>
      </w:r>
      <w:r>
        <w:rPr>
          <w:rFonts w:hint="eastAsia" w:ascii="仿宋_GB2312" w:eastAsia="仿宋_GB2312"/>
          <w:sz w:val="32"/>
          <w:szCs w:val="32"/>
        </w:rPr>
        <w:t>诉讼案件</w:t>
      </w:r>
      <w:r>
        <w:rPr>
          <w:rFonts w:ascii="仿宋_GB2312" w:eastAsia="仿宋_GB2312"/>
          <w:sz w:val="32"/>
          <w:szCs w:val="32"/>
        </w:rPr>
        <w:t>占比等</w:t>
      </w:r>
      <w:r>
        <w:rPr>
          <w:rFonts w:hint="eastAsia" w:ascii="仿宋_GB2312" w:eastAsia="仿宋_GB2312"/>
          <w:sz w:val="32"/>
          <w:szCs w:val="32"/>
        </w:rPr>
        <w:t>数据完成情况在</w:t>
      </w:r>
      <w:r>
        <w:rPr>
          <w:rFonts w:ascii="仿宋_GB2312" w:eastAsia="仿宋_GB2312"/>
          <w:sz w:val="32"/>
          <w:szCs w:val="32"/>
        </w:rPr>
        <w:t>电视墙上予以公布</w:t>
      </w:r>
      <w:r>
        <w:rPr>
          <w:rFonts w:hint="eastAsia" w:ascii="仿宋_GB2312" w:eastAsia="仿宋_GB2312"/>
          <w:sz w:val="32"/>
          <w:szCs w:val="32"/>
        </w:rPr>
        <w:t>，</w:t>
      </w:r>
      <w:r>
        <w:rPr>
          <w:rFonts w:ascii="仿宋_GB2312" w:eastAsia="仿宋_GB2312"/>
          <w:sz w:val="32"/>
          <w:szCs w:val="32"/>
        </w:rPr>
        <w:t>大家要及时按照要求进行对标</w:t>
      </w:r>
      <w:r>
        <w:rPr>
          <w:rFonts w:hint="eastAsia" w:ascii="仿宋_GB2312" w:eastAsia="仿宋_GB2312"/>
          <w:sz w:val="32"/>
          <w:szCs w:val="32"/>
        </w:rPr>
        <w:t>，今后</w:t>
      </w:r>
      <w:r>
        <w:rPr>
          <w:rFonts w:ascii="仿宋_GB2312" w:eastAsia="仿宋_GB2312"/>
          <w:sz w:val="32"/>
          <w:szCs w:val="32"/>
        </w:rPr>
        <w:t>对未完成</w:t>
      </w:r>
      <w:r>
        <w:rPr>
          <w:rFonts w:hint="eastAsia" w:ascii="仿宋_GB2312" w:eastAsia="仿宋_GB2312"/>
          <w:sz w:val="32"/>
          <w:szCs w:val="32"/>
        </w:rPr>
        <w:t>指标的</w:t>
      </w:r>
      <w:r>
        <w:rPr>
          <w:rFonts w:ascii="仿宋_GB2312" w:eastAsia="仿宋_GB2312"/>
          <w:sz w:val="32"/>
          <w:szCs w:val="32"/>
        </w:rPr>
        <w:t>员额法官</w:t>
      </w:r>
      <w:r>
        <w:rPr>
          <w:rFonts w:hint="eastAsia" w:ascii="仿宋_GB2312" w:eastAsia="仿宋_GB2312"/>
          <w:sz w:val="32"/>
          <w:szCs w:val="32"/>
        </w:rPr>
        <w:t>将进行</w:t>
      </w:r>
      <w:r>
        <w:rPr>
          <w:rFonts w:ascii="仿宋_GB2312" w:eastAsia="仿宋_GB2312"/>
          <w:sz w:val="32"/>
          <w:szCs w:val="32"/>
        </w:rPr>
        <w:t>点名通报。</w:t>
      </w:r>
    </w:p>
    <w:p>
      <w:pPr>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val="en-US" w:eastAsia="zh-CN"/>
        </w:rPr>
        <w:t>9</w:t>
      </w:r>
      <w:r>
        <w:rPr>
          <w:rFonts w:hint="eastAsia" w:ascii="仿宋_GB2312" w:eastAsia="仿宋_GB2312"/>
          <w:sz w:val="32"/>
          <w:szCs w:val="32"/>
        </w:rPr>
        <w:t>月份，我院结案率、结收比、人均结案数</w:t>
      </w:r>
      <w:r>
        <w:rPr>
          <w:rFonts w:hint="eastAsia" w:ascii="仿宋_GB2312" w:eastAsia="仿宋_GB2312"/>
          <w:sz w:val="32"/>
          <w:szCs w:val="32"/>
          <w:lang w:eastAsia="zh-CN"/>
        </w:rPr>
        <w:t>、</w:t>
      </w:r>
      <w:r>
        <w:rPr>
          <w:rFonts w:hint="eastAsia" w:ascii="仿宋_GB2312" w:eastAsia="仿宋_GB2312"/>
          <w:sz w:val="32"/>
          <w:szCs w:val="32"/>
          <w:lang w:val="en-US" w:eastAsia="zh-CN"/>
        </w:rPr>
        <w:t>一审案件服判息诉率四</w:t>
      </w:r>
      <w:r>
        <w:rPr>
          <w:rFonts w:hint="eastAsia" w:ascii="仿宋_GB2312" w:eastAsia="仿宋_GB2312"/>
          <w:sz w:val="32"/>
          <w:szCs w:val="32"/>
        </w:rPr>
        <w:t>项核心指标全省排名第</w:t>
      </w:r>
      <w:r>
        <w:rPr>
          <w:rFonts w:hint="eastAsia" w:ascii="仿宋_GB2312" w:eastAsia="仿宋_GB2312"/>
          <w:sz w:val="32"/>
          <w:szCs w:val="32"/>
          <w:lang w:val="en-US" w:eastAsia="zh-CN"/>
        </w:rPr>
        <w:t>41</w:t>
      </w:r>
      <w:r>
        <w:rPr>
          <w:rFonts w:hint="eastAsia" w:ascii="仿宋_GB2312" w:eastAsia="仿宋_GB2312"/>
          <w:sz w:val="32"/>
          <w:szCs w:val="32"/>
        </w:rPr>
        <w:t>位，全州排名第5位。</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我院电子印章应用系统已经上线，希望大家抓紧时间进行操作，尽快熟练掌握并应用。</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  2019年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variable"/>
    <w:sig w:usb0="80000287" w:usb1="2ACF001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538422"/>
    </w:sdtPr>
    <w:sdtEndPr>
      <w:rPr>
        <w:lang w:val="zh-CN"/>
      </w:rPr>
    </w:sdtEndPr>
    <w:sdtContent>
      <w:p>
        <w:pPr>
          <w:pStyle w:val="3"/>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ind w:firstLine="420"/>
        <w:rPr>
          <w:sz w:val="21"/>
        </w:rPr>
      </w:pPr>
      <w:r>
        <w:rPr>
          <w:rStyle w:val="9"/>
          <w:sz w:val="21"/>
        </w:rPr>
        <w:footnoteRef/>
      </w:r>
      <w:r>
        <w:rPr>
          <w:sz w:val="21"/>
        </w:rPr>
        <w:t xml:space="preserve"> </w:t>
      </w:r>
      <w:r>
        <w:rPr>
          <w:rFonts w:hint="eastAsia"/>
          <w:sz w:val="21"/>
        </w:rPr>
        <w:t>法定（正常）审限内结案率指标（2分）—上半年、全年的法定（正常）审限内结案率基础分值各为1分，基础结案率均确定为98%，考核时达到基础法定（正常）审限内结案率的值得1分，达不到基础法定（正常）结案率的予以减分，每低于基础法定（正常）结案率0.1个百分点的减0.02分，每个考核节点减分以1分为限，全年考核减分以2分为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0F4EC2"/>
    <w:multiLevelType w:val="singleLevel"/>
    <w:tmpl w:val="AA0F4EC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DC"/>
    <w:rsid w:val="000002DE"/>
    <w:rsid w:val="0000631A"/>
    <w:rsid w:val="0000693C"/>
    <w:rsid w:val="00011FD8"/>
    <w:rsid w:val="00014703"/>
    <w:rsid w:val="00017D7A"/>
    <w:rsid w:val="0003032B"/>
    <w:rsid w:val="00035C08"/>
    <w:rsid w:val="00035E2F"/>
    <w:rsid w:val="00036DD9"/>
    <w:rsid w:val="0004341A"/>
    <w:rsid w:val="000442E2"/>
    <w:rsid w:val="000444FD"/>
    <w:rsid w:val="00046DCD"/>
    <w:rsid w:val="00050276"/>
    <w:rsid w:val="000558C0"/>
    <w:rsid w:val="00060E7D"/>
    <w:rsid w:val="00064219"/>
    <w:rsid w:val="000646AA"/>
    <w:rsid w:val="00070016"/>
    <w:rsid w:val="000721D4"/>
    <w:rsid w:val="0007787C"/>
    <w:rsid w:val="000803BF"/>
    <w:rsid w:val="0008134F"/>
    <w:rsid w:val="0008261C"/>
    <w:rsid w:val="000830D9"/>
    <w:rsid w:val="00086C7E"/>
    <w:rsid w:val="00092F8F"/>
    <w:rsid w:val="00093147"/>
    <w:rsid w:val="000B1FF9"/>
    <w:rsid w:val="000B3DA5"/>
    <w:rsid w:val="000B48A7"/>
    <w:rsid w:val="000B59EA"/>
    <w:rsid w:val="000C01EA"/>
    <w:rsid w:val="000C2343"/>
    <w:rsid w:val="000C380A"/>
    <w:rsid w:val="000C3A5D"/>
    <w:rsid w:val="000D2A6C"/>
    <w:rsid w:val="000D3328"/>
    <w:rsid w:val="000D3B6F"/>
    <w:rsid w:val="000D3DE5"/>
    <w:rsid w:val="000D5BA5"/>
    <w:rsid w:val="000D611A"/>
    <w:rsid w:val="000D7EAC"/>
    <w:rsid w:val="000E0650"/>
    <w:rsid w:val="000E2AC4"/>
    <w:rsid w:val="000E5880"/>
    <w:rsid w:val="000F15A2"/>
    <w:rsid w:val="000F526C"/>
    <w:rsid w:val="000F570B"/>
    <w:rsid w:val="000F6DFB"/>
    <w:rsid w:val="000F6F1C"/>
    <w:rsid w:val="000F7EAF"/>
    <w:rsid w:val="001020DC"/>
    <w:rsid w:val="001073D2"/>
    <w:rsid w:val="00115ECA"/>
    <w:rsid w:val="001166EB"/>
    <w:rsid w:val="00117C5D"/>
    <w:rsid w:val="001222B7"/>
    <w:rsid w:val="001302DA"/>
    <w:rsid w:val="00130F1F"/>
    <w:rsid w:val="00131ACC"/>
    <w:rsid w:val="001375B0"/>
    <w:rsid w:val="00141276"/>
    <w:rsid w:val="00146404"/>
    <w:rsid w:val="00152265"/>
    <w:rsid w:val="00152617"/>
    <w:rsid w:val="00153AB6"/>
    <w:rsid w:val="00155D58"/>
    <w:rsid w:val="00160B02"/>
    <w:rsid w:val="00160F88"/>
    <w:rsid w:val="00161A8E"/>
    <w:rsid w:val="0016298A"/>
    <w:rsid w:val="00162F5D"/>
    <w:rsid w:val="00163026"/>
    <w:rsid w:val="001645A1"/>
    <w:rsid w:val="00165D2E"/>
    <w:rsid w:val="001667FD"/>
    <w:rsid w:val="001678AD"/>
    <w:rsid w:val="001721C8"/>
    <w:rsid w:val="00172635"/>
    <w:rsid w:val="0017538A"/>
    <w:rsid w:val="00182181"/>
    <w:rsid w:val="0018218F"/>
    <w:rsid w:val="001855A7"/>
    <w:rsid w:val="0019161A"/>
    <w:rsid w:val="001920EC"/>
    <w:rsid w:val="00197150"/>
    <w:rsid w:val="001972B2"/>
    <w:rsid w:val="001A602C"/>
    <w:rsid w:val="001A6B3A"/>
    <w:rsid w:val="001B25DE"/>
    <w:rsid w:val="001B6BEC"/>
    <w:rsid w:val="001B7700"/>
    <w:rsid w:val="001C03F6"/>
    <w:rsid w:val="001C3AEA"/>
    <w:rsid w:val="001C5578"/>
    <w:rsid w:val="001C6423"/>
    <w:rsid w:val="001D40B9"/>
    <w:rsid w:val="001D5343"/>
    <w:rsid w:val="001E0966"/>
    <w:rsid w:val="001E2E5C"/>
    <w:rsid w:val="001F17C3"/>
    <w:rsid w:val="001F3F3B"/>
    <w:rsid w:val="001F5922"/>
    <w:rsid w:val="001F696F"/>
    <w:rsid w:val="001F6B3E"/>
    <w:rsid w:val="002005C2"/>
    <w:rsid w:val="00203820"/>
    <w:rsid w:val="0020469E"/>
    <w:rsid w:val="00207C55"/>
    <w:rsid w:val="00207FDC"/>
    <w:rsid w:val="00210E34"/>
    <w:rsid w:val="0021155E"/>
    <w:rsid w:val="00212AB9"/>
    <w:rsid w:val="002214D3"/>
    <w:rsid w:val="00224E8C"/>
    <w:rsid w:val="00225B70"/>
    <w:rsid w:val="00225E48"/>
    <w:rsid w:val="00230471"/>
    <w:rsid w:val="0023102E"/>
    <w:rsid w:val="00231D9D"/>
    <w:rsid w:val="002343C0"/>
    <w:rsid w:val="0023756A"/>
    <w:rsid w:val="002379ED"/>
    <w:rsid w:val="00237DD3"/>
    <w:rsid w:val="00241DB0"/>
    <w:rsid w:val="002550E6"/>
    <w:rsid w:val="00256385"/>
    <w:rsid w:val="00263A5F"/>
    <w:rsid w:val="00265DA9"/>
    <w:rsid w:val="0026712E"/>
    <w:rsid w:val="00267148"/>
    <w:rsid w:val="0027143B"/>
    <w:rsid w:val="00271BB3"/>
    <w:rsid w:val="002748BD"/>
    <w:rsid w:val="0027553D"/>
    <w:rsid w:val="0027624D"/>
    <w:rsid w:val="00280D8A"/>
    <w:rsid w:val="00281EB0"/>
    <w:rsid w:val="002831D2"/>
    <w:rsid w:val="00283DBF"/>
    <w:rsid w:val="0028656A"/>
    <w:rsid w:val="002A0C0D"/>
    <w:rsid w:val="002A0DE1"/>
    <w:rsid w:val="002A2A97"/>
    <w:rsid w:val="002A5E43"/>
    <w:rsid w:val="002B5219"/>
    <w:rsid w:val="002C3D6C"/>
    <w:rsid w:val="002C441E"/>
    <w:rsid w:val="002C474B"/>
    <w:rsid w:val="002C763B"/>
    <w:rsid w:val="002D379E"/>
    <w:rsid w:val="002D5AD2"/>
    <w:rsid w:val="002E3B38"/>
    <w:rsid w:val="002E7DD3"/>
    <w:rsid w:val="002F0A4F"/>
    <w:rsid w:val="002F45D2"/>
    <w:rsid w:val="002F4618"/>
    <w:rsid w:val="002F4A1D"/>
    <w:rsid w:val="002F55B8"/>
    <w:rsid w:val="003019F1"/>
    <w:rsid w:val="00311B26"/>
    <w:rsid w:val="0033322C"/>
    <w:rsid w:val="0033590A"/>
    <w:rsid w:val="0033603F"/>
    <w:rsid w:val="00340FF2"/>
    <w:rsid w:val="00344D2B"/>
    <w:rsid w:val="00347B47"/>
    <w:rsid w:val="00350392"/>
    <w:rsid w:val="0035430B"/>
    <w:rsid w:val="003551B5"/>
    <w:rsid w:val="00355499"/>
    <w:rsid w:val="00356837"/>
    <w:rsid w:val="003604EA"/>
    <w:rsid w:val="00365EF9"/>
    <w:rsid w:val="00370526"/>
    <w:rsid w:val="00370E6A"/>
    <w:rsid w:val="00381627"/>
    <w:rsid w:val="003819EB"/>
    <w:rsid w:val="0038307C"/>
    <w:rsid w:val="00384B95"/>
    <w:rsid w:val="00385D91"/>
    <w:rsid w:val="00386B25"/>
    <w:rsid w:val="003900A3"/>
    <w:rsid w:val="003904F2"/>
    <w:rsid w:val="00390500"/>
    <w:rsid w:val="00391CCE"/>
    <w:rsid w:val="0039296F"/>
    <w:rsid w:val="003A2F67"/>
    <w:rsid w:val="003A3C04"/>
    <w:rsid w:val="003A6107"/>
    <w:rsid w:val="003B0953"/>
    <w:rsid w:val="003B1555"/>
    <w:rsid w:val="003B3D5B"/>
    <w:rsid w:val="003B4705"/>
    <w:rsid w:val="003B655E"/>
    <w:rsid w:val="003C2E2F"/>
    <w:rsid w:val="003D0513"/>
    <w:rsid w:val="003D1632"/>
    <w:rsid w:val="003D2056"/>
    <w:rsid w:val="003D6E4F"/>
    <w:rsid w:val="003D7889"/>
    <w:rsid w:val="003E109C"/>
    <w:rsid w:val="003E2EC2"/>
    <w:rsid w:val="003E3B68"/>
    <w:rsid w:val="003E3B6F"/>
    <w:rsid w:val="003E4A8C"/>
    <w:rsid w:val="003E683C"/>
    <w:rsid w:val="003E78F3"/>
    <w:rsid w:val="003F1E4F"/>
    <w:rsid w:val="003F2E11"/>
    <w:rsid w:val="003F32B3"/>
    <w:rsid w:val="003F3469"/>
    <w:rsid w:val="004018E3"/>
    <w:rsid w:val="00404355"/>
    <w:rsid w:val="004075F0"/>
    <w:rsid w:val="00410329"/>
    <w:rsid w:val="00410F0A"/>
    <w:rsid w:val="004138F2"/>
    <w:rsid w:val="00425395"/>
    <w:rsid w:val="004330DA"/>
    <w:rsid w:val="0044002B"/>
    <w:rsid w:val="00442175"/>
    <w:rsid w:val="004447FA"/>
    <w:rsid w:val="004460C1"/>
    <w:rsid w:val="00450469"/>
    <w:rsid w:val="004663D8"/>
    <w:rsid w:val="00470BE6"/>
    <w:rsid w:val="004872BA"/>
    <w:rsid w:val="00487C05"/>
    <w:rsid w:val="004910C3"/>
    <w:rsid w:val="0049699B"/>
    <w:rsid w:val="004A69F0"/>
    <w:rsid w:val="004B0C19"/>
    <w:rsid w:val="004B0E44"/>
    <w:rsid w:val="004B3108"/>
    <w:rsid w:val="004B5CA6"/>
    <w:rsid w:val="004B71C8"/>
    <w:rsid w:val="004C73A9"/>
    <w:rsid w:val="004D03FA"/>
    <w:rsid w:val="004D1496"/>
    <w:rsid w:val="004D5FC4"/>
    <w:rsid w:val="004D6A84"/>
    <w:rsid w:val="004E05C5"/>
    <w:rsid w:val="004E1CF1"/>
    <w:rsid w:val="004E234C"/>
    <w:rsid w:val="004E643E"/>
    <w:rsid w:val="004E709C"/>
    <w:rsid w:val="004F2620"/>
    <w:rsid w:val="004F2956"/>
    <w:rsid w:val="004F4331"/>
    <w:rsid w:val="004F52AD"/>
    <w:rsid w:val="004F5832"/>
    <w:rsid w:val="00506CD5"/>
    <w:rsid w:val="005074F5"/>
    <w:rsid w:val="00507856"/>
    <w:rsid w:val="0051494E"/>
    <w:rsid w:val="00515E3F"/>
    <w:rsid w:val="0051605C"/>
    <w:rsid w:val="005163AA"/>
    <w:rsid w:val="005170CF"/>
    <w:rsid w:val="00523E3F"/>
    <w:rsid w:val="00532703"/>
    <w:rsid w:val="005340B7"/>
    <w:rsid w:val="005401E7"/>
    <w:rsid w:val="00541808"/>
    <w:rsid w:val="00541AF8"/>
    <w:rsid w:val="0054243F"/>
    <w:rsid w:val="005452B4"/>
    <w:rsid w:val="00550E65"/>
    <w:rsid w:val="0055275B"/>
    <w:rsid w:val="00554B7A"/>
    <w:rsid w:val="00556281"/>
    <w:rsid w:val="0056106E"/>
    <w:rsid w:val="00565863"/>
    <w:rsid w:val="005676CC"/>
    <w:rsid w:val="00567857"/>
    <w:rsid w:val="00572C5D"/>
    <w:rsid w:val="00572D36"/>
    <w:rsid w:val="0057309F"/>
    <w:rsid w:val="005750DD"/>
    <w:rsid w:val="005800BB"/>
    <w:rsid w:val="00587357"/>
    <w:rsid w:val="00587753"/>
    <w:rsid w:val="00591A38"/>
    <w:rsid w:val="005931DA"/>
    <w:rsid w:val="005965C8"/>
    <w:rsid w:val="00596CEF"/>
    <w:rsid w:val="005A1DC5"/>
    <w:rsid w:val="005B150E"/>
    <w:rsid w:val="005B4C40"/>
    <w:rsid w:val="005B53D7"/>
    <w:rsid w:val="005B6D25"/>
    <w:rsid w:val="005B7083"/>
    <w:rsid w:val="005C0522"/>
    <w:rsid w:val="005C5112"/>
    <w:rsid w:val="005C627B"/>
    <w:rsid w:val="005C73A2"/>
    <w:rsid w:val="005D00D9"/>
    <w:rsid w:val="005D11D3"/>
    <w:rsid w:val="005D4046"/>
    <w:rsid w:val="005E65CB"/>
    <w:rsid w:val="005E796A"/>
    <w:rsid w:val="005F072D"/>
    <w:rsid w:val="005F0791"/>
    <w:rsid w:val="005F16FB"/>
    <w:rsid w:val="005F59BF"/>
    <w:rsid w:val="00601A98"/>
    <w:rsid w:val="00602B12"/>
    <w:rsid w:val="00607594"/>
    <w:rsid w:val="00607B7F"/>
    <w:rsid w:val="00613A10"/>
    <w:rsid w:val="00614A2C"/>
    <w:rsid w:val="00614FD3"/>
    <w:rsid w:val="006261E5"/>
    <w:rsid w:val="00630AB0"/>
    <w:rsid w:val="00632702"/>
    <w:rsid w:val="006356D8"/>
    <w:rsid w:val="00642B10"/>
    <w:rsid w:val="00644622"/>
    <w:rsid w:val="00645B3B"/>
    <w:rsid w:val="006507C6"/>
    <w:rsid w:val="006511E2"/>
    <w:rsid w:val="00653041"/>
    <w:rsid w:val="006538A6"/>
    <w:rsid w:val="00654267"/>
    <w:rsid w:val="00660F2A"/>
    <w:rsid w:val="0066520F"/>
    <w:rsid w:val="00670FD8"/>
    <w:rsid w:val="0067280B"/>
    <w:rsid w:val="00677C8E"/>
    <w:rsid w:val="00682438"/>
    <w:rsid w:val="00686F60"/>
    <w:rsid w:val="00692717"/>
    <w:rsid w:val="0069406F"/>
    <w:rsid w:val="00695236"/>
    <w:rsid w:val="00696BC6"/>
    <w:rsid w:val="00696F8F"/>
    <w:rsid w:val="006A388C"/>
    <w:rsid w:val="006A61C2"/>
    <w:rsid w:val="006A793E"/>
    <w:rsid w:val="006A7D66"/>
    <w:rsid w:val="006B1007"/>
    <w:rsid w:val="006B11B7"/>
    <w:rsid w:val="006B5D50"/>
    <w:rsid w:val="006B6E72"/>
    <w:rsid w:val="006C12D0"/>
    <w:rsid w:val="006C146C"/>
    <w:rsid w:val="006C1BAC"/>
    <w:rsid w:val="006C4F73"/>
    <w:rsid w:val="006D0FDD"/>
    <w:rsid w:val="006D3BD4"/>
    <w:rsid w:val="006D5ED0"/>
    <w:rsid w:val="006E7435"/>
    <w:rsid w:val="006F0715"/>
    <w:rsid w:val="006F615B"/>
    <w:rsid w:val="006F7466"/>
    <w:rsid w:val="006F7DF4"/>
    <w:rsid w:val="007025C4"/>
    <w:rsid w:val="007058FF"/>
    <w:rsid w:val="007060B1"/>
    <w:rsid w:val="00706639"/>
    <w:rsid w:val="00711BA1"/>
    <w:rsid w:val="00724A8C"/>
    <w:rsid w:val="00724C74"/>
    <w:rsid w:val="00726863"/>
    <w:rsid w:val="00731728"/>
    <w:rsid w:val="00733A51"/>
    <w:rsid w:val="00734B71"/>
    <w:rsid w:val="00735731"/>
    <w:rsid w:val="00736767"/>
    <w:rsid w:val="00750812"/>
    <w:rsid w:val="007629F8"/>
    <w:rsid w:val="0076380B"/>
    <w:rsid w:val="007812F8"/>
    <w:rsid w:val="00782545"/>
    <w:rsid w:val="007861FA"/>
    <w:rsid w:val="007904DE"/>
    <w:rsid w:val="00792DE4"/>
    <w:rsid w:val="00796A66"/>
    <w:rsid w:val="007A2E2E"/>
    <w:rsid w:val="007A4E94"/>
    <w:rsid w:val="007A61E3"/>
    <w:rsid w:val="007A61E5"/>
    <w:rsid w:val="007A7C20"/>
    <w:rsid w:val="007B0B3D"/>
    <w:rsid w:val="007B2268"/>
    <w:rsid w:val="007B24C1"/>
    <w:rsid w:val="007B4EED"/>
    <w:rsid w:val="007B5FA9"/>
    <w:rsid w:val="007B74B6"/>
    <w:rsid w:val="007B74D2"/>
    <w:rsid w:val="007C4669"/>
    <w:rsid w:val="007C77D7"/>
    <w:rsid w:val="007D3BA6"/>
    <w:rsid w:val="007D402E"/>
    <w:rsid w:val="007D4458"/>
    <w:rsid w:val="007D7F2B"/>
    <w:rsid w:val="007E096E"/>
    <w:rsid w:val="007E571F"/>
    <w:rsid w:val="007F16F5"/>
    <w:rsid w:val="00822725"/>
    <w:rsid w:val="008331ED"/>
    <w:rsid w:val="00836C7F"/>
    <w:rsid w:val="008440FE"/>
    <w:rsid w:val="008447B9"/>
    <w:rsid w:val="00851CDF"/>
    <w:rsid w:val="00853F5B"/>
    <w:rsid w:val="00857EB4"/>
    <w:rsid w:val="0086056C"/>
    <w:rsid w:val="00870F13"/>
    <w:rsid w:val="008776D7"/>
    <w:rsid w:val="00877A67"/>
    <w:rsid w:val="00880A23"/>
    <w:rsid w:val="00883558"/>
    <w:rsid w:val="00893AAE"/>
    <w:rsid w:val="008A49CA"/>
    <w:rsid w:val="008A501C"/>
    <w:rsid w:val="008B009A"/>
    <w:rsid w:val="008B4048"/>
    <w:rsid w:val="008B4EBB"/>
    <w:rsid w:val="008B6D07"/>
    <w:rsid w:val="008C559B"/>
    <w:rsid w:val="008D522F"/>
    <w:rsid w:val="008E15CE"/>
    <w:rsid w:val="008F3518"/>
    <w:rsid w:val="008F49B7"/>
    <w:rsid w:val="008F5359"/>
    <w:rsid w:val="008F77B1"/>
    <w:rsid w:val="009015C4"/>
    <w:rsid w:val="0090231D"/>
    <w:rsid w:val="00911215"/>
    <w:rsid w:val="00917576"/>
    <w:rsid w:val="0092082C"/>
    <w:rsid w:val="00922B9B"/>
    <w:rsid w:val="00927236"/>
    <w:rsid w:val="00927428"/>
    <w:rsid w:val="00930D55"/>
    <w:rsid w:val="00941748"/>
    <w:rsid w:val="00942D31"/>
    <w:rsid w:val="0095238E"/>
    <w:rsid w:val="00952B07"/>
    <w:rsid w:val="00961CD0"/>
    <w:rsid w:val="00962409"/>
    <w:rsid w:val="00964CDE"/>
    <w:rsid w:val="009722EA"/>
    <w:rsid w:val="00972618"/>
    <w:rsid w:val="0098029A"/>
    <w:rsid w:val="009819A5"/>
    <w:rsid w:val="00982366"/>
    <w:rsid w:val="00983875"/>
    <w:rsid w:val="0098654E"/>
    <w:rsid w:val="00991DCB"/>
    <w:rsid w:val="00997565"/>
    <w:rsid w:val="00997D04"/>
    <w:rsid w:val="009A3290"/>
    <w:rsid w:val="009A683B"/>
    <w:rsid w:val="009B4A9D"/>
    <w:rsid w:val="009B6FDB"/>
    <w:rsid w:val="009C1057"/>
    <w:rsid w:val="009C7DEF"/>
    <w:rsid w:val="009D33E6"/>
    <w:rsid w:val="009D4652"/>
    <w:rsid w:val="009E20B3"/>
    <w:rsid w:val="009E3067"/>
    <w:rsid w:val="009E4352"/>
    <w:rsid w:val="009E50F3"/>
    <w:rsid w:val="009E621C"/>
    <w:rsid w:val="009F48E7"/>
    <w:rsid w:val="00A00BC5"/>
    <w:rsid w:val="00A00DB9"/>
    <w:rsid w:val="00A03FE1"/>
    <w:rsid w:val="00A04C36"/>
    <w:rsid w:val="00A07A60"/>
    <w:rsid w:val="00A230C1"/>
    <w:rsid w:val="00A24E64"/>
    <w:rsid w:val="00A25205"/>
    <w:rsid w:val="00A3025B"/>
    <w:rsid w:val="00A332E6"/>
    <w:rsid w:val="00A449E8"/>
    <w:rsid w:val="00A518FD"/>
    <w:rsid w:val="00A55051"/>
    <w:rsid w:val="00A55601"/>
    <w:rsid w:val="00A579F5"/>
    <w:rsid w:val="00A64665"/>
    <w:rsid w:val="00A829CF"/>
    <w:rsid w:val="00A9392E"/>
    <w:rsid w:val="00AA1199"/>
    <w:rsid w:val="00AA3394"/>
    <w:rsid w:val="00AA64E8"/>
    <w:rsid w:val="00AB02EA"/>
    <w:rsid w:val="00AB2AB2"/>
    <w:rsid w:val="00AB2F8F"/>
    <w:rsid w:val="00AB36A4"/>
    <w:rsid w:val="00AB56E5"/>
    <w:rsid w:val="00AB5FCB"/>
    <w:rsid w:val="00AC2255"/>
    <w:rsid w:val="00AC4218"/>
    <w:rsid w:val="00AC7B4D"/>
    <w:rsid w:val="00AD0CCB"/>
    <w:rsid w:val="00AE00EB"/>
    <w:rsid w:val="00AE5A61"/>
    <w:rsid w:val="00AE7D76"/>
    <w:rsid w:val="00AF765E"/>
    <w:rsid w:val="00B009DE"/>
    <w:rsid w:val="00B01D36"/>
    <w:rsid w:val="00B024EB"/>
    <w:rsid w:val="00B050D9"/>
    <w:rsid w:val="00B0584F"/>
    <w:rsid w:val="00B07932"/>
    <w:rsid w:val="00B1338D"/>
    <w:rsid w:val="00B13805"/>
    <w:rsid w:val="00B32124"/>
    <w:rsid w:val="00B34397"/>
    <w:rsid w:val="00B3565B"/>
    <w:rsid w:val="00B4241E"/>
    <w:rsid w:val="00B44BAA"/>
    <w:rsid w:val="00B53F68"/>
    <w:rsid w:val="00B54F4E"/>
    <w:rsid w:val="00B62A9F"/>
    <w:rsid w:val="00B64086"/>
    <w:rsid w:val="00B72F4C"/>
    <w:rsid w:val="00B7321A"/>
    <w:rsid w:val="00B736F3"/>
    <w:rsid w:val="00B74766"/>
    <w:rsid w:val="00B823D4"/>
    <w:rsid w:val="00B82BDC"/>
    <w:rsid w:val="00B849A8"/>
    <w:rsid w:val="00B86973"/>
    <w:rsid w:val="00B9018B"/>
    <w:rsid w:val="00B94335"/>
    <w:rsid w:val="00B95648"/>
    <w:rsid w:val="00B96879"/>
    <w:rsid w:val="00BA019F"/>
    <w:rsid w:val="00BA2735"/>
    <w:rsid w:val="00BA295A"/>
    <w:rsid w:val="00BA7830"/>
    <w:rsid w:val="00BB45FF"/>
    <w:rsid w:val="00BB5CCC"/>
    <w:rsid w:val="00BB603D"/>
    <w:rsid w:val="00BC3A7F"/>
    <w:rsid w:val="00BF02A2"/>
    <w:rsid w:val="00BF2430"/>
    <w:rsid w:val="00C04E7E"/>
    <w:rsid w:val="00C060E6"/>
    <w:rsid w:val="00C06DCB"/>
    <w:rsid w:val="00C12845"/>
    <w:rsid w:val="00C15408"/>
    <w:rsid w:val="00C15F52"/>
    <w:rsid w:val="00C24E62"/>
    <w:rsid w:val="00C25E0C"/>
    <w:rsid w:val="00C31DE5"/>
    <w:rsid w:val="00C33D87"/>
    <w:rsid w:val="00C35D46"/>
    <w:rsid w:val="00C36020"/>
    <w:rsid w:val="00C40732"/>
    <w:rsid w:val="00C40844"/>
    <w:rsid w:val="00C43369"/>
    <w:rsid w:val="00C46F55"/>
    <w:rsid w:val="00C51174"/>
    <w:rsid w:val="00C544A8"/>
    <w:rsid w:val="00C62A15"/>
    <w:rsid w:val="00C63905"/>
    <w:rsid w:val="00C66DFC"/>
    <w:rsid w:val="00C724DD"/>
    <w:rsid w:val="00C80AC1"/>
    <w:rsid w:val="00C82089"/>
    <w:rsid w:val="00C9391A"/>
    <w:rsid w:val="00C95D2C"/>
    <w:rsid w:val="00C96236"/>
    <w:rsid w:val="00CA3AF9"/>
    <w:rsid w:val="00CB1264"/>
    <w:rsid w:val="00CB3A2B"/>
    <w:rsid w:val="00CB68B3"/>
    <w:rsid w:val="00CC0E4B"/>
    <w:rsid w:val="00CC1384"/>
    <w:rsid w:val="00CC16A2"/>
    <w:rsid w:val="00CC1AF0"/>
    <w:rsid w:val="00CC1EAA"/>
    <w:rsid w:val="00CC29EB"/>
    <w:rsid w:val="00CC5931"/>
    <w:rsid w:val="00CD15D4"/>
    <w:rsid w:val="00CD1712"/>
    <w:rsid w:val="00CD2B05"/>
    <w:rsid w:val="00CD443C"/>
    <w:rsid w:val="00CD707C"/>
    <w:rsid w:val="00CD7D11"/>
    <w:rsid w:val="00CF2FC3"/>
    <w:rsid w:val="00D02FA1"/>
    <w:rsid w:val="00D06DA2"/>
    <w:rsid w:val="00D07341"/>
    <w:rsid w:val="00D07D55"/>
    <w:rsid w:val="00D11870"/>
    <w:rsid w:val="00D132FB"/>
    <w:rsid w:val="00D238A7"/>
    <w:rsid w:val="00D2639B"/>
    <w:rsid w:val="00D27F14"/>
    <w:rsid w:val="00D34AE2"/>
    <w:rsid w:val="00D36210"/>
    <w:rsid w:val="00D40A15"/>
    <w:rsid w:val="00D40C3D"/>
    <w:rsid w:val="00D4407F"/>
    <w:rsid w:val="00D457F4"/>
    <w:rsid w:val="00D46AB0"/>
    <w:rsid w:val="00D515B5"/>
    <w:rsid w:val="00D52EC7"/>
    <w:rsid w:val="00D56159"/>
    <w:rsid w:val="00D61082"/>
    <w:rsid w:val="00D653BF"/>
    <w:rsid w:val="00D6682C"/>
    <w:rsid w:val="00D70843"/>
    <w:rsid w:val="00D71C0F"/>
    <w:rsid w:val="00D720FC"/>
    <w:rsid w:val="00D76144"/>
    <w:rsid w:val="00D83C2F"/>
    <w:rsid w:val="00D8529B"/>
    <w:rsid w:val="00D8546B"/>
    <w:rsid w:val="00D873C2"/>
    <w:rsid w:val="00D9005D"/>
    <w:rsid w:val="00D9021F"/>
    <w:rsid w:val="00D9650A"/>
    <w:rsid w:val="00D97226"/>
    <w:rsid w:val="00DA0F91"/>
    <w:rsid w:val="00DA15B1"/>
    <w:rsid w:val="00DA1FEA"/>
    <w:rsid w:val="00DC0A48"/>
    <w:rsid w:val="00DC0F44"/>
    <w:rsid w:val="00DC2B05"/>
    <w:rsid w:val="00DD23CF"/>
    <w:rsid w:val="00DD2898"/>
    <w:rsid w:val="00DD32AB"/>
    <w:rsid w:val="00DD49CB"/>
    <w:rsid w:val="00DF51A1"/>
    <w:rsid w:val="00DF7286"/>
    <w:rsid w:val="00E01821"/>
    <w:rsid w:val="00E024DB"/>
    <w:rsid w:val="00E07BC8"/>
    <w:rsid w:val="00E21DC6"/>
    <w:rsid w:val="00E246BB"/>
    <w:rsid w:val="00E24AAD"/>
    <w:rsid w:val="00E250A8"/>
    <w:rsid w:val="00E26CC4"/>
    <w:rsid w:val="00E300A1"/>
    <w:rsid w:val="00E32B0F"/>
    <w:rsid w:val="00E332AD"/>
    <w:rsid w:val="00E3354A"/>
    <w:rsid w:val="00E37C1D"/>
    <w:rsid w:val="00E40A4D"/>
    <w:rsid w:val="00E42946"/>
    <w:rsid w:val="00E43B7B"/>
    <w:rsid w:val="00E453F8"/>
    <w:rsid w:val="00E478DB"/>
    <w:rsid w:val="00E5164F"/>
    <w:rsid w:val="00E55AE0"/>
    <w:rsid w:val="00E60E60"/>
    <w:rsid w:val="00E61627"/>
    <w:rsid w:val="00E6194B"/>
    <w:rsid w:val="00E70720"/>
    <w:rsid w:val="00E76D6E"/>
    <w:rsid w:val="00E8040A"/>
    <w:rsid w:val="00E8109E"/>
    <w:rsid w:val="00E94B68"/>
    <w:rsid w:val="00E95DA7"/>
    <w:rsid w:val="00EA0706"/>
    <w:rsid w:val="00EA0D65"/>
    <w:rsid w:val="00EA309E"/>
    <w:rsid w:val="00EA4AF7"/>
    <w:rsid w:val="00EA528E"/>
    <w:rsid w:val="00EB532F"/>
    <w:rsid w:val="00EB54BA"/>
    <w:rsid w:val="00EC00D0"/>
    <w:rsid w:val="00EC2D7C"/>
    <w:rsid w:val="00EC5D41"/>
    <w:rsid w:val="00EC6BC3"/>
    <w:rsid w:val="00ED399B"/>
    <w:rsid w:val="00ED73BC"/>
    <w:rsid w:val="00EF3C0E"/>
    <w:rsid w:val="00F00E25"/>
    <w:rsid w:val="00F06C3A"/>
    <w:rsid w:val="00F12479"/>
    <w:rsid w:val="00F1321D"/>
    <w:rsid w:val="00F17925"/>
    <w:rsid w:val="00F2783C"/>
    <w:rsid w:val="00F31577"/>
    <w:rsid w:val="00F33EE9"/>
    <w:rsid w:val="00F4059B"/>
    <w:rsid w:val="00F41D79"/>
    <w:rsid w:val="00F45811"/>
    <w:rsid w:val="00F47FAC"/>
    <w:rsid w:val="00F51FB5"/>
    <w:rsid w:val="00F544AF"/>
    <w:rsid w:val="00F67DD9"/>
    <w:rsid w:val="00F75941"/>
    <w:rsid w:val="00F769FF"/>
    <w:rsid w:val="00F824BA"/>
    <w:rsid w:val="00F8441F"/>
    <w:rsid w:val="00F8496C"/>
    <w:rsid w:val="00F85A42"/>
    <w:rsid w:val="00F92170"/>
    <w:rsid w:val="00F92FE9"/>
    <w:rsid w:val="00F93B9A"/>
    <w:rsid w:val="00FA2F4B"/>
    <w:rsid w:val="00FB0BD2"/>
    <w:rsid w:val="00FB3245"/>
    <w:rsid w:val="00FB391F"/>
    <w:rsid w:val="00FB6A1B"/>
    <w:rsid w:val="00FC1FE3"/>
    <w:rsid w:val="00FC221A"/>
    <w:rsid w:val="00FC2FDF"/>
    <w:rsid w:val="00FC6419"/>
    <w:rsid w:val="00FC7FB1"/>
    <w:rsid w:val="00FD2A73"/>
    <w:rsid w:val="00FE0D9D"/>
    <w:rsid w:val="00FE2AA9"/>
    <w:rsid w:val="00FF6B23"/>
    <w:rsid w:val="07F62A91"/>
    <w:rsid w:val="0B727D57"/>
    <w:rsid w:val="0F1236BE"/>
    <w:rsid w:val="11B07FCE"/>
    <w:rsid w:val="145A3789"/>
    <w:rsid w:val="1DD47149"/>
    <w:rsid w:val="200853E3"/>
    <w:rsid w:val="22E15F95"/>
    <w:rsid w:val="2A31605E"/>
    <w:rsid w:val="2E800A84"/>
    <w:rsid w:val="32EC6A51"/>
    <w:rsid w:val="3E6C0645"/>
    <w:rsid w:val="3F0C6A10"/>
    <w:rsid w:val="41CC646E"/>
    <w:rsid w:val="444145F1"/>
    <w:rsid w:val="45FA21A1"/>
    <w:rsid w:val="46032C6B"/>
    <w:rsid w:val="46F60098"/>
    <w:rsid w:val="569A44EB"/>
    <w:rsid w:val="57AF2ED1"/>
    <w:rsid w:val="57B77F91"/>
    <w:rsid w:val="5D8E0157"/>
    <w:rsid w:val="63CD45F2"/>
    <w:rsid w:val="656111AA"/>
    <w:rsid w:val="69685310"/>
    <w:rsid w:val="6D0E39CD"/>
    <w:rsid w:val="79277B22"/>
    <w:rsid w:val="7D8B2D36"/>
    <w:rsid w:val="7FC46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3"/>
    <w:qFormat/>
    <w:uiPriority w:val="0"/>
    <w:pPr>
      <w:adjustRightInd w:val="0"/>
      <w:snapToGrid w:val="0"/>
      <w:spacing w:line="520" w:lineRule="exact"/>
      <w:ind w:firstLine="880" w:firstLineChars="200"/>
      <w:jc w:val="left"/>
    </w:pPr>
    <w:rPr>
      <w:rFonts w:ascii="Times New Roman" w:hAnsi="Times New Roman" w:eastAsia="仿宋" w:cs="Times New Roman"/>
      <w:sz w:val="18"/>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footnote reference"/>
    <w:basedOn w:val="8"/>
    <w:qFormat/>
    <w:uiPriority w:val="0"/>
    <w:rPr>
      <w:vertAlign w:val="superscript"/>
    </w:rPr>
  </w:style>
  <w:style w:type="paragraph" w:styleId="10">
    <w:name w:val="List Paragraph"/>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脚注文本 Char"/>
    <w:basedOn w:val="8"/>
    <w:link w:val="5"/>
    <w:qFormat/>
    <w:uiPriority w:val="0"/>
    <w:rPr>
      <w:rFonts w:ascii="Times New Roman" w:hAnsi="Times New Roman" w:eastAsia="仿宋" w:cs="Times New Roman"/>
      <w:sz w:val="18"/>
      <w:szCs w:val="24"/>
    </w:rPr>
  </w:style>
  <w:style w:type="character" w:customStyle="1" w:styleId="14">
    <w:name w:val="批注框文本 Char"/>
    <w:basedOn w:val="8"/>
    <w:link w:val="2"/>
    <w:semiHidden/>
    <w:qFormat/>
    <w:uiPriority w:val="99"/>
    <w:rPr>
      <w:sz w:val="18"/>
      <w:szCs w:val="18"/>
    </w:rPr>
  </w:style>
  <w:style w:type="table" w:customStyle="1" w:styleId="15">
    <w:name w:val="清单表 3 - 着色 51"/>
    <w:basedOn w:val="6"/>
    <w:qFormat/>
    <w:uiPriority w:val="48"/>
    <w:tblPr>
      <w:tblBorders>
        <w:top w:val="single" w:color="4BACC6" w:themeColor="accent5" w:sz="4" w:space="0"/>
        <w:left w:val="single" w:color="4BACC6" w:themeColor="accent5" w:sz="4" w:space="0"/>
        <w:bottom w:val="single" w:color="4BACC6" w:themeColor="accent5" w:sz="4" w:space="0"/>
        <w:right w:val="single" w:color="4BACC6" w:themeColor="accent5"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4BACC6" w:themeFill="accent5"/>
      </w:tcPr>
    </w:tblStylePr>
    <w:tblStylePr w:type="lastRow">
      <w:rPr>
        <w:b/>
        <w:bCs/>
      </w:rPr>
      <w:tcPr>
        <w:tcBorders>
          <w:top w:val="double" w:color="4BACC6"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BACC6" w:themeColor="accent5" w:sz="4" w:space="0"/>
          <w:right w:val="single" w:color="4BACC6" w:themeColor="accent5" w:sz="4" w:space="0"/>
        </w:tcBorders>
      </w:tcPr>
    </w:tblStylePr>
    <w:tblStylePr w:type="band1Horz">
      <w:tcPr>
        <w:tcBorders>
          <w:top w:val="single" w:color="4BACC6" w:themeColor="accent5" w:sz="4" w:space="0"/>
          <w:bottom w:val="single" w:color="4BACC6"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BACC6" w:themeColor="accent5" w:sz="4" w:space="0"/>
          <w:left w:val="nil"/>
        </w:tcBorders>
      </w:tcPr>
    </w:tblStylePr>
    <w:tblStylePr w:type="swCell">
      <w:tcPr>
        <w:tcBorders>
          <w:top w:val="double" w:color="4BACC6" w:themeColor="accent5" w:sz="4" w:space="0"/>
          <w:right w:val="nil"/>
        </w:tcBorders>
      </w:tcPr>
    </w:tblStylePr>
  </w:style>
  <w:style w:type="table" w:customStyle="1" w:styleId="16">
    <w:name w:val="清单表 3 - 着色 52"/>
    <w:basedOn w:val="6"/>
    <w:qFormat/>
    <w:uiPriority w:val="48"/>
    <w:tblPr>
      <w:tblBorders>
        <w:top w:val="single" w:color="4BACC6" w:themeColor="accent5" w:sz="4" w:space="0"/>
        <w:left w:val="single" w:color="4BACC6" w:themeColor="accent5" w:sz="4" w:space="0"/>
        <w:bottom w:val="single" w:color="4BACC6" w:themeColor="accent5" w:sz="4" w:space="0"/>
        <w:right w:val="single" w:color="4BACC6" w:themeColor="accent5"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4BACC6" w:themeFill="accent5"/>
      </w:tcPr>
    </w:tblStylePr>
    <w:tblStylePr w:type="lastRow">
      <w:rPr>
        <w:b/>
        <w:bCs/>
      </w:rPr>
      <w:tcPr>
        <w:tcBorders>
          <w:top w:val="double" w:color="4BACC6"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BACC6" w:themeColor="accent5" w:sz="4" w:space="0"/>
          <w:right w:val="single" w:color="4BACC6" w:themeColor="accent5" w:sz="4" w:space="0"/>
        </w:tcBorders>
      </w:tcPr>
    </w:tblStylePr>
    <w:tblStylePr w:type="band1Horz">
      <w:tcPr>
        <w:tcBorders>
          <w:top w:val="single" w:color="4BACC6" w:themeColor="accent5" w:sz="4" w:space="0"/>
          <w:bottom w:val="single" w:color="4BACC6"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BACC6" w:themeColor="accent5" w:sz="4" w:space="0"/>
          <w:left w:val="nil"/>
        </w:tcBorders>
      </w:tcPr>
    </w:tblStylePr>
    <w:tblStylePr w:type="swCell">
      <w:tcPr>
        <w:tcBorders>
          <w:top w:val="double" w:color="4BACC6" w:themeColor="accent5" w:sz="4" w:space="0"/>
          <w:right w:val="nil"/>
        </w:tcBorders>
      </w:tcPr>
    </w:tblStylePr>
  </w:style>
  <w:style w:type="character" w:customStyle="1" w:styleId="17">
    <w:name w:val="不明显参考1"/>
    <w:basedOn w:val="8"/>
    <w:qFormat/>
    <w:uiPriority w:val="31"/>
    <w:rPr>
      <w:smallCaps/>
      <w:color w:val="595959" w:themeColor="text1" w:themeTint="A6"/>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chart" Target="charts/chart5.xml"/><Relationship Id="rId3" Type="http://schemas.openxmlformats.org/officeDocument/2006/relationships/footnotes" Target="footnotes.xml"/><Relationship Id="rId29" Type="http://schemas.openxmlformats.org/officeDocument/2006/relationships/chart" Target="charts/chart4.xml"/><Relationship Id="rId28" Type="http://schemas.openxmlformats.org/officeDocument/2006/relationships/image" Target="media/image10.emf"/><Relationship Id="rId27" Type="http://schemas.openxmlformats.org/officeDocument/2006/relationships/oleObject" Target="embeddings/oleObject10.bin"/><Relationship Id="rId26" Type="http://schemas.openxmlformats.org/officeDocument/2006/relationships/image" Target="media/image9.emf"/><Relationship Id="rId25" Type="http://schemas.openxmlformats.org/officeDocument/2006/relationships/oleObject" Target="embeddings/oleObject9.bin"/><Relationship Id="rId24" Type="http://schemas.openxmlformats.org/officeDocument/2006/relationships/image" Target="media/image8.emf"/><Relationship Id="rId23" Type="http://schemas.openxmlformats.org/officeDocument/2006/relationships/oleObject" Target="embeddings/oleObject8.bin"/><Relationship Id="rId22" Type="http://schemas.openxmlformats.org/officeDocument/2006/relationships/image" Target="media/image7.emf"/><Relationship Id="rId21" Type="http://schemas.openxmlformats.org/officeDocument/2006/relationships/oleObject" Target="embeddings/oleObject7.bin"/><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emf"/><Relationship Id="rId17" Type="http://schemas.openxmlformats.org/officeDocument/2006/relationships/oleObject" Target="embeddings/oleObject5.bin"/><Relationship Id="rId16" Type="http://schemas.openxmlformats.org/officeDocument/2006/relationships/image" Target="media/image4.emf"/><Relationship Id="rId15" Type="http://schemas.openxmlformats.org/officeDocument/2006/relationships/oleObject" Target="embeddings/oleObject4.bin"/><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400" b="1" i="0" u="none" strike="noStrike" kern="1200" baseline="0">
                <a:solidFill>
                  <a:schemeClr val="tx2"/>
                </a:solidFill>
                <a:latin typeface="+mn-lt"/>
                <a:ea typeface="+mn-ea"/>
                <a:cs typeface="+mn-cs"/>
              </a:defRPr>
            </a:pPr>
            <a:r>
              <a:rPr lang="zh-CN" altLang="zh-CN" sz="1400" b="1" i="0" baseline="0">
                <a:effectLst/>
              </a:rPr>
              <a:t>收结比指标</a:t>
            </a:r>
            <a:r>
              <a:rPr lang="zh-CN" altLang="en-US" sz="1400" b="1" i="0" baseline="0">
                <a:effectLst/>
              </a:rPr>
              <a:t>趋势</a:t>
            </a:r>
            <a:r>
              <a:rPr lang="zh-CN" altLang="zh-CN" sz="1400" b="1" i="0" baseline="0">
                <a:effectLst/>
              </a:rPr>
              <a:t>对照图例</a:t>
            </a:r>
            <a:endParaRPr lang="zh-CN" altLang="zh-CN" sz="1400">
              <a:effectLst/>
            </a:endParaRPr>
          </a:p>
        </c:rich>
      </c:tx>
      <c:layout>
        <c:manualLayout>
          <c:xMode val="edge"/>
          <c:yMode val="edge"/>
          <c:x val="0.352175"/>
          <c:y val="0.0208405696422369"/>
        </c:manualLayout>
      </c:layout>
      <c:overlay val="0"/>
      <c:spPr>
        <a:noFill/>
        <a:ln>
          <a:noFill/>
        </a:ln>
        <a:effectLst/>
      </c:spPr>
    </c:title>
    <c:autoTitleDeleted val="0"/>
    <c:plotArea>
      <c:layout>
        <c:manualLayout>
          <c:layoutTarget val="inner"/>
          <c:xMode val="edge"/>
          <c:yMode val="edge"/>
          <c:x val="0.1881"/>
          <c:y val="0.148145271351328"/>
          <c:w val="0.8094"/>
          <c:h val="0.496131366698301"/>
        </c:manualLayout>
      </c:layout>
      <c:lineChart>
        <c:grouping val="standard"/>
        <c:varyColors val="0"/>
        <c:ser>
          <c:idx val="1"/>
          <c:order val="0"/>
          <c:tx>
            <c:strRef>
              <c:f>Sheet1!$A$2</c:f>
              <c:strCache>
                <c:ptCount val="1"/>
                <c:pt idx="0">
                  <c:v>结收比情况</c:v>
                </c:pt>
              </c:strCache>
            </c:strRef>
          </c:tx>
          <c:spPr>
            <a:ln w="31750" cap="rnd" cmpd="sng" algn="ctr">
              <a:solidFill>
                <a:srgbClr val="00B0F0"/>
              </a:solidFill>
              <a:prstDash val="solid"/>
              <a:round/>
            </a:ln>
            <a:effectLst>
              <a:outerShdw blurRad="40000" dist="23000" dir="5400000" rotWithShape="0">
                <a:srgbClr val="000000">
                  <a:alpha val="35000"/>
                </a:srgbClr>
              </a:outerShdw>
            </a:effectLst>
          </c:spPr>
          <c:marker>
            <c:symbol val="none"/>
          </c:marker>
          <c:dLbls>
            <c:delete val="1"/>
          </c:dLbls>
          <c:cat>
            <c:strRef>
              <c:f>Sheet1!$B$1:$M$1</c:f>
              <c:strCache>
                <c:ptCount val="12"/>
                <c:pt idx="0">
                  <c:v>一月</c:v>
                </c:pt>
                <c:pt idx="1">
                  <c:v>二月</c:v>
                </c:pt>
                <c:pt idx="2">
                  <c:v>三月</c:v>
                </c:pt>
                <c:pt idx="3">
                  <c:v>四月</c:v>
                </c:pt>
                <c:pt idx="4">
                  <c:v>五月</c:v>
                </c:pt>
                <c:pt idx="5">
                  <c:v>六月</c:v>
                </c:pt>
                <c:pt idx="6">
                  <c:v>七月</c:v>
                </c:pt>
                <c:pt idx="7">
                  <c:v>八月</c:v>
                </c:pt>
                <c:pt idx="8">
                  <c:v>九月</c:v>
                </c:pt>
                <c:pt idx="9">
                  <c:v>十月</c:v>
                </c:pt>
                <c:pt idx="10">
                  <c:v>十一月</c:v>
                </c:pt>
                <c:pt idx="11">
                  <c:v>十二月</c:v>
                </c:pt>
              </c:strCache>
            </c:strRef>
          </c:cat>
          <c:val>
            <c:numRef>
              <c:f>Sheet1!$B$2:$M$2</c:f>
              <c:numCache>
                <c:formatCode>0.00%</c:formatCode>
                <c:ptCount val="12"/>
                <c:pt idx="0">
                  <c:v>0.6449</c:v>
                </c:pt>
                <c:pt idx="1">
                  <c:v>0.8971</c:v>
                </c:pt>
                <c:pt idx="2">
                  <c:v>0.9784</c:v>
                </c:pt>
                <c:pt idx="3">
                  <c:v>0.9471</c:v>
                </c:pt>
                <c:pt idx="4">
                  <c:v>0.9375</c:v>
                </c:pt>
                <c:pt idx="5">
                  <c:v>0.9525</c:v>
                </c:pt>
                <c:pt idx="6">
                  <c:v>1.0147</c:v>
                </c:pt>
                <c:pt idx="7">
                  <c:v>0.994</c:v>
                </c:pt>
                <c:pt idx="8">
                  <c:v>1.0182</c:v>
                </c:pt>
              </c:numCache>
            </c:numRef>
          </c:val>
          <c:smooth val="0"/>
        </c:ser>
        <c:ser>
          <c:idx val="0"/>
          <c:order val="1"/>
          <c:tx>
            <c:strRef>
              <c:f>Sheet1!$A$3</c:f>
              <c:strCache>
                <c:ptCount val="1"/>
                <c:pt idx="0">
                  <c:v>结收比指标</c:v>
                </c:pt>
              </c:strCache>
            </c:strRef>
          </c:tx>
          <c:spPr>
            <a:ln w="31750" cap="rnd" cmpd="sng" algn="ctr">
              <a:solidFill>
                <a:srgbClr val="FF0000"/>
              </a:solidFill>
              <a:prstDash val="solid"/>
              <a:round/>
            </a:ln>
            <a:effectLst>
              <a:outerShdw blurRad="40000" dist="23000" dir="5400000" rotWithShape="0">
                <a:srgbClr val="000000">
                  <a:alpha val="35000"/>
                </a:srgbClr>
              </a:outerShdw>
            </a:effectLst>
          </c:spPr>
          <c:marker>
            <c:symbol val="none"/>
          </c:marker>
          <c:dLbls>
            <c:delete val="1"/>
          </c:dLbls>
          <c:cat>
            <c:strRef>
              <c:f>Sheet1!$B$1:$M$1</c:f>
              <c:strCache>
                <c:ptCount val="12"/>
                <c:pt idx="0">
                  <c:v>一月</c:v>
                </c:pt>
                <c:pt idx="1">
                  <c:v>二月</c:v>
                </c:pt>
                <c:pt idx="2">
                  <c:v>三月</c:v>
                </c:pt>
                <c:pt idx="3">
                  <c:v>四月</c:v>
                </c:pt>
                <c:pt idx="4">
                  <c:v>五月</c:v>
                </c:pt>
                <c:pt idx="5">
                  <c:v>六月</c:v>
                </c:pt>
                <c:pt idx="6">
                  <c:v>七月</c:v>
                </c:pt>
                <c:pt idx="7">
                  <c:v>八月</c:v>
                </c:pt>
                <c:pt idx="8">
                  <c:v>九月</c:v>
                </c:pt>
                <c:pt idx="9">
                  <c:v>十月</c:v>
                </c:pt>
                <c:pt idx="10">
                  <c:v>十一月</c:v>
                </c:pt>
                <c:pt idx="11">
                  <c:v>十二月</c:v>
                </c:pt>
              </c:strCache>
            </c:strRef>
          </c:cat>
          <c:val>
            <c:numRef>
              <c:f>Sheet1!$B$3:$M$3</c:f>
              <c:numCache>
                <c:formatCode>0%</c:formatCode>
                <c:ptCount val="12"/>
                <c:pt idx="0">
                  <c:v>0.7</c:v>
                </c:pt>
                <c:pt idx="1">
                  <c:v>0.7</c:v>
                </c:pt>
                <c:pt idx="2">
                  <c:v>0.7</c:v>
                </c:pt>
                <c:pt idx="3">
                  <c:v>0.85</c:v>
                </c:pt>
                <c:pt idx="4">
                  <c:v>0.85</c:v>
                </c:pt>
                <c:pt idx="5">
                  <c:v>0.85</c:v>
                </c:pt>
                <c:pt idx="6">
                  <c:v>0.9</c:v>
                </c:pt>
                <c:pt idx="7">
                  <c:v>0.9</c:v>
                </c:pt>
                <c:pt idx="8">
                  <c:v>0.9</c:v>
                </c:pt>
                <c:pt idx="9">
                  <c:v>1</c:v>
                </c:pt>
                <c:pt idx="10">
                  <c:v>1</c:v>
                </c:pt>
                <c:pt idx="11">
                  <c:v>1</c:v>
                </c:pt>
              </c:numCache>
            </c:numRef>
          </c:val>
          <c:smooth val="0"/>
        </c:ser>
        <c:dLbls>
          <c:showLegendKey val="0"/>
          <c:showVal val="0"/>
          <c:showCatName val="0"/>
          <c:showSerName val="0"/>
          <c:showPercent val="0"/>
          <c:showBubbleSize val="0"/>
        </c:dLbls>
        <c:marker val="0"/>
        <c:smooth val="0"/>
        <c:axId val="163099008"/>
        <c:axId val="163100544"/>
      </c:lineChart>
      <c:catAx>
        <c:axId val="163099008"/>
        <c:scaling>
          <c:orientation val="minMax"/>
        </c:scaling>
        <c:delete val="0"/>
        <c:axPos val="b"/>
        <c:numFmt formatCode="General" sourceLinked="0"/>
        <c:majorTickMark val="out"/>
        <c:minorTickMark val="none"/>
        <c:tickLblPos val="nextTo"/>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163100544"/>
        <c:crosses val="autoZero"/>
        <c:auto val="1"/>
        <c:lblAlgn val="ctr"/>
        <c:lblOffset val="100"/>
        <c:noMultiLvlLbl val="0"/>
      </c:catAx>
      <c:valAx>
        <c:axId val="163100544"/>
        <c:scaling>
          <c:orientation val="minMax"/>
        </c:scaling>
        <c:delete val="0"/>
        <c:axPos val="l"/>
        <c:majorGridlines>
          <c:spPr>
            <a:ln w="9525" cap="flat" cmpd="sng" algn="ctr">
              <a:solidFill>
                <a:schemeClr val="tx2">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163099008"/>
        <c:crosses val="autoZero"/>
        <c:crossBetween val="between"/>
      </c:valAx>
      <c:dTable>
        <c:showHorzBorder val="1"/>
        <c:showVertBorder val="1"/>
        <c:showOutline val="1"/>
        <c:showKeys val="1"/>
        <c:spPr>
          <a:noFill/>
          <a:ln w="9525" cap="flat" cmpd="sng" algn="ctr">
            <a:solidFill>
              <a:schemeClr val="tx2">
                <a:lumMod val="15000"/>
                <a:lumOff val="85000"/>
              </a:schemeClr>
            </a:solidFill>
            <a:prstDash val="solid"/>
            <a:round/>
          </a:ln>
          <a:effectLst/>
        </c:spPr>
        <c:txPr>
          <a:bodyPr rot="0" spcFirstLastPara="1" vertOverflow="ellipsis" vert="horz" wrap="square" anchor="ctr" anchorCtr="1"/>
          <a:lstStyle/>
          <a:p>
            <a:pPr>
              <a:defRPr lang="zh-CN" sz="800" b="0" i="0" u="none" strike="noStrike" kern="1200" baseline="0">
                <a:solidFill>
                  <a:schemeClr val="tx2"/>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cap="none" spc="20" baseline="0">
                <a:solidFill>
                  <a:sysClr val="windowText" lastClr="000000"/>
                </a:solidFill>
                <a:latin typeface="微软雅黑 Light" panose="020B0502040204020203" pitchFamily="34" charset="-122"/>
                <a:ea typeface="微软雅黑 Light" panose="020B0502040204020203" pitchFamily="34" charset="-122"/>
                <a:cs typeface="+mn-cs"/>
              </a:defRPr>
            </a:pPr>
            <a:r>
              <a:rPr lang="zh-CN">
                <a:latin typeface="微软雅黑 Light" panose="020B0502040204020203" pitchFamily="34" charset="-122"/>
                <a:ea typeface="微软雅黑 Light" panose="020B0502040204020203" pitchFamily="34" charset="-122"/>
              </a:rPr>
              <a:t>审限内结案率图例</a:t>
            </a:r>
            <a:endParaRPr lang="zh-CN">
              <a:latin typeface="微软雅黑 Light" panose="020B0502040204020203" pitchFamily="34" charset="-122"/>
              <a:ea typeface="微软雅黑 Light" panose="020B0502040204020203" pitchFamily="34" charset="-122"/>
            </a:endParaRPr>
          </a:p>
        </c:rich>
      </c:tx>
      <c:layout>
        <c:manualLayout>
          <c:xMode val="edge"/>
          <c:yMode val="edge"/>
          <c:x val="0.339152419937395"/>
          <c:y val="0"/>
        </c:manualLayout>
      </c:layout>
      <c:overlay val="0"/>
      <c:spPr>
        <a:noFill/>
        <a:ln>
          <a:noFill/>
        </a:ln>
        <a:effectLst/>
      </c:spPr>
    </c:title>
    <c:autoTitleDeleted val="0"/>
    <c:plotArea>
      <c:layout>
        <c:manualLayout>
          <c:layoutTarget val="inner"/>
          <c:xMode val="edge"/>
          <c:yMode val="edge"/>
          <c:x val="0.111616116610514"/>
          <c:y val="0.223592272914098"/>
          <c:w val="0.86189700643307"/>
          <c:h val="0.620935237595918"/>
        </c:manualLayout>
      </c:layout>
      <c:areaChart>
        <c:grouping val="standard"/>
        <c:varyColors val="0"/>
        <c:ser>
          <c:idx val="0"/>
          <c:order val="0"/>
          <c:tx>
            <c:strRef>
              <c:f>Sheet1!$A$2</c:f>
              <c:strCache>
                <c:ptCount val="1"/>
                <c:pt idx="0">
                  <c:v>审限内结案率</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no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Sheet1!$B$1:$F$1</c:f>
              <c:strCache>
                <c:ptCount val="5"/>
                <c:pt idx="0">
                  <c:v>刑事</c:v>
                </c:pt>
                <c:pt idx="1">
                  <c:v>民事</c:v>
                </c:pt>
                <c:pt idx="2">
                  <c:v>行政</c:v>
                </c:pt>
                <c:pt idx="3">
                  <c:v>赔偿</c:v>
                </c:pt>
                <c:pt idx="4">
                  <c:v>审查监督</c:v>
                </c:pt>
              </c:strCache>
            </c:strRef>
          </c:cat>
          <c:val>
            <c:numRef>
              <c:f>Sheet1!$B$2:$F$2</c:f>
              <c:numCache>
                <c:formatCode>0.00%</c:formatCode>
                <c:ptCount val="5"/>
                <c:pt idx="0">
                  <c:v>0.9518</c:v>
                </c:pt>
                <c:pt idx="1" c:formatCode="0%">
                  <c:v>1</c:v>
                </c:pt>
                <c:pt idx="2" c:formatCode="0%">
                  <c:v>1</c:v>
                </c:pt>
                <c:pt idx="3" c:formatCode="0%">
                  <c:v>1</c:v>
                </c:pt>
                <c:pt idx="4" c:formatCode="0%">
                  <c:v>1</c:v>
                </c:pt>
              </c:numCache>
            </c:numRef>
          </c:val>
        </c:ser>
        <c:dLbls>
          <c:showLegendKey val="0"/>
          <c:showVal val="1"/>
          <c:showCatName val="0"/>
          <c:showSerName val="0"/>
          <c:showPercent val="0"/>
          <c:showBubbleSize val="0"/>
        </c:dLbls>
        <c:axId val="191985536"/>
        <c:axId val="191987072"/>
      </c:areaChart>
      <c:lineChart>
        <c:grouping val="standard"/>
        <c:varyColors val="0"/>
        <c:ser>
          <c:idx val="1"/>
          <c:order val="1"/>
          <c:tx>
            <c:strRef>
              <c:f>Sheet1!$A$3</c:f>
              <c:strCache>
                <c:ptCount val="1"/>
                <c:pt idx="0">
                  <c:v>指标数</c:v>
                </c:pt>
              </c:strCache>
            </c:strRef>
          </c:tx>
          <c:spPr>
            <a:ln w="15875" cap="rnd" cmpd="sng" algn="ctr">
              <a:solidFill>
                <a:srgbClr val="FF0000"/>
              </a:solidFill>
              <a:prstDash val="solid"/>
              <a:round/>
            </a:ln>
            <a:effectLst>
              <a:outerShdw blurRad="40000" dist="20000" dir="5400000" rotWithShape="0">
                <a:srgbClr val="000000">
                  <a:alpha val="38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Sheet1!$B$1:$F$1</c:f>
              <c:strCache>
                <c:ptCount val="5"/>
                <c:pt idx="0">
                  <c:v>刑事</c:v>
                </c:pt>
                <c:pt idx="1">
                  <c:v>民事</c:v>
                </c:pt>
                <c:pt idx="2">
                  <c:v>行政</c:v>
                </c:pt>
                <c:pt idx="3">
                  <c:v>赔偿</c:v>
                </c:pt>
                <c:pt idx="4">
                  <c:v>审查监督</c:v>
                </c:pt>
              </c:strCache>
            </c:strRef>
          </c:cat>
          <c:val>
            <c:numRef>
              <c:f>Sheet1!$B$3:$F$3</c:f>
              <c:numCache>
                <c:formatCode>0%</c:formatCode>
                <c:ptCount val="5"/>
                <c:pt idx="0">
                  <c:v>0.98</c:v>
                </c:pt>
                <c:pt idx="1">
                  <c:v>0.98</c:v>
                </c:pt>
                <c:pt idx="2">
                  <c:v>0.98</c:v>
                </c:pt>
                <c:pt idx="3">
                  <c:v>0.98</c:v>
                </c:pt>
                <c:pt idx="4">
                  <c:v>0.98</c:v>
                </c:pt>
              </c:numCache>
            </c:numRef>
          </c:val>
          <c:smooth val="0"/>
        </c:ser>
        <c:dLbls>
          <c:showLegendKey val="0"/>
          <c:showVal val="1"/>
          <c:showCatName val="0"/>
          <c:showSerName val="0"/>
          <c:showPercent val="0"/>
          <c:showBubbleSize val="0"/>
        </c:dLbls>
        <c:marker val="0"/>
        <c:smooth val="0"/>
        <c:axId val="191985536"/>
        <c:axId val="191987072"/>
      </c:lineChart>
      <c:catAx>
        <c:axId val="19198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91987072"/>
        <c:crosses val="autoZero"/>
        <c:auto val="1"/>
        <c:lblAlgn val="ctr"/>
        <c:lblOffset val="100"/>
        <c:noMultiLvlLbl val="0"/>
      </c:catAx>
      <c:valAx>
        <c:axId val="1919870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91985536"/>
        <c:crosses val="autoZero"/>
        <c:crossBetween val="between"/>
      </c:valAx>
      <c:spPr>
        <a:noFill/>
        <a:ln>
          <a:noFill/>
        </a:ln>
        <a:effectLst/>
      </c:spPr>
    </c:plotArea>
    <c:legend>
      <c:legendPos val="b"/>
      <c:layout>
        <c:manualLayout>
          <c:xMode val="edge"/>
          <c:yMode val="edge"/>
          <c:x val="0.626655429809777"/>
          <c:y val="0.125014923676057"/>
          <c:w val="0.372742595713942"/>
          <c:h val="0.121842008016146"/>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400" b="1" i="0" u="none" strike="noStrike" kern="1200" baseline="0">
                <a:solidFill>
                  <a:schemeClr val="tx2"/>
                </a:solidFill>
                <a:latin typeface="+mn-lt"/>
                <a:ea typeface="+mn-ea"/>
                <a:cs typeface="+mn-cs"/>
              </a:defRPr>
            </a:pPr>
            <a:r>
              <a:rPr lang="zh-CN" sz="1400"/>
              <a:t>结案情况分析图例</a:t>
            </a:r>
            <a:endParaRPr lang="zh-CN" sz="1400"/>
          </a:p>
        </c:rich>
      </c:tx>
      <c:layout>
        <c:manualLayout>
          <c:xMode val="edge"/>
          <c:yMode val="edge"/>
          <c:x val="0.352175"/>
          <c:y val="0.0208405696422369"/>
        </c:manualLayout>
      </c:layout>
      <c:overlay val="0"/>
      <c:spPr>
        <a:noFill/>
        <a:ln>
          <a:noFill/>
        </a:ln>
        <a:effectLst/>
      </c:spPr>
    </c:title>
    <c:autoTitleDeleted val="0"/>
    <c:plotArea>
      <c:layout>
        <c:manualLayout>
          <c:layoutTarget val="inner"/>
          <c:xMode val="edge"/>
          <c:yMode val="edge"/>
          <c:x val="0.1881"/>
          <c:y val="0.184039733831465"/>
          <c:w val="0.8094"/>
          <c:h val="0.496131366698301"/>
        </c:manualLayout>
      </c:layout>
      <c:barChart>
        <c:barDir val="col"/>
        <c:grouping val="stacked"/>
        <c:varyColors val="0"/>
        <c:ser>
          <c:idx val="1"/>
          <c:order val="0"/>
          <c:tx>
            <c:strRef>
              <c:f>Sheet1!$B$1</c:f>
              <c:strCache>
                <c:ptCount val="1"/>
                <c:pt idx="0">
                  <c:v>未结案件数</c:v>
                </c:pt>
              </c:strCache>
            </c:strRef>
          </c:tx>
          <c:spPr>
            <a:solidFill>
              <a:schemeClr val="accent6"/>
            </a:solidFill>
            <a:ln>
              <a:noFill/>
            </a:ln>
            <a:effectLst>
              <a:outerShdw blurRad="40000" dist="23000" dir="5400000" rotWithShape="0">
                <a:srgbClr val="000000">
                  <a:alpha val="35000"/>
                </a:srgbClr>
              </a:outerShdw>
            </a:effectLst>
          </c:spPr>
          <c:invertIfNegative val="0"/>
          <c:dLbls>
            <c:delete val="1"/>
          </c:dLbls>
          <c:cat>
            <c:strRef>
              <c:f>Sheet1!$A$2:$A$7</c:f>
              <c:strCache>
                <c:ptCount val="6"/>
                <c:pt idx="0">
                  <c:v>院领导</c:v>
                </c:pt>
                <c:pt idx="1">
                  <c:v>刑庭</c:v>
                </c:pt>
                <c:pt idx="2">
                  <c:v>民事庭</c:v>
                </c:pt>
                <c:pt idx="3">
                  <c:v>行政庭</c:v>
                </c:pt>
                <c:pt idx="4">
                  <c:v>立案庭</c:v>
                </c:pt>
                <c:pt idx="5">
                  <c:v>执行局</c:v>
                </c:pt>
              </c:strCache>
            </c:strRef>
          </c:cat>
          <c:val>
            <c:numRef>
              <c:f>Sheet1!$B$2:$B$7</c:f>
              <c:numCache>
                <c:formatCode>General</c:formatCode>
                <c:ptCount val="6"/>
                <c:pt idx="0">
                  <c:v>17</c:v>
                </c:pt>
                <c:pt idx="1">
                  <c:v>4</c:v>
                </c:pt>
                <c:pt idx="2">
                  <c:v>57</c:v>
                </c:pt>
                <c:pt idx="3">
                  <c:v>81</c:v>
                </c:pt>
                <c:pt idx="4">
                  <c:v>17</c:v>
                </c:pt>
                <c:pt idx="5">
                  <c:v>125</c:v>
                </c:pt>
              </c:numCache>
            </c:numRef>
          </c:val>
        </c:ser>
        <c:ser>
          <c:idx val="0"/>
          <c:order val="1"/>
          <c:tx>
            <c:strRef>
              <c:f>Sheet1!$C$1</c:f>
              <c:strCache>
                <c:ptCount val="1"/>
                <c:pt idx="0">
                  <c:v>结案数</c:v>
                </c:pt>
              </c:strCache>
            </c:strRef>
          </c:tx>
          <c:spPr>
            <a:solidFill>
              <a:schemeClr val="accent5"/>
            </a:solidFill>
            <a:ln>
              <a:noFill/>
            </a:ln>
            <a:effectLst>
              <a:outerShdw blurRad="40000" dist="23000" dir="5400000" rotWithShape="0">
                <a:srgbClr val="000000">
                  <a:alpha val="35000"/>
                </a:srgbClr>
              </a:outerShdw>
            </a:effectLst>
          </c:spPr>
          <c:invertIfNegative val="0"/>
          <c:dLbls>
            <c:delete val="1"/>
          </c:dLbls>
          <c:cat>
            <c:strRef>
              <c:f>Sheet1!$A$2:$A$7</c:f>
              <c:strCache>
                <c:ptCount val="6"/>
                <c:pt idx="0">
                  <c:v>院领导</c:v>
                </c:pt>
                <c:pt idx="1">
                  <c:v>刑庭</c:v>
                </c:pt>
                <c:pt idx="2">
                  <c:v>民事庭</c:v>
                </c:pt>
                <c:pt idx="3">
                  <c:v>行政庭</c:v>
                </c:pt>
                <c:pt idx="4">
                  <c:v>立案庭</c:v>
                </c:pt>
                <c:pt idx="5">
                  <c:v>执行局</c:v>
                </c:pt>
              </c:strCache>
            </c:strRef>
          </c:cat>
          <c:val>
            <c:numRef>
              <c:f>Sheet1!$C$2:$C$7</c:f>
              <c:numCache>
                <c:formatCode>General</c:formatCode>
                <c:ptCount val="6"/>
                <c:pt idx="0">
                  <c:v>115</c:v>
                </c:pt>
                <c:pt idx="1">
                  <c:v>57</c:v>
                </c:pt>
                <c:pt idx="2">
                  <c:v>243</c:v>
                </c:pt>
                <c:pt idx="3">
                  <c:v>308</c:v>
                </c:pt>
                <c:pt idx="4">
                  <c:v>239</c:v>
                </c:pt>
                <c:pt idx="5">
                  <c:v>605</c:v>
                </c:pt>
              </c:numCache>
            </c:numRef>
          </c:val>
        </c:ser>
        <c:dLbls>
          <c:showLegendKey val="0"/>
          <c:showVal val="0"/>
          <c:showCatName val="0"/>
          <c:showSerName val="0"/>
          <c:showPercent val="0"/>
          <c:showBubbleSize val="0"/>
        </c:dLbls>
        <c:gapWidth val="150"/>
        <c:overlap val="100"/>
        <c:axId val="203171712"/>
        <c:axId val="203173248"/>
      </c:barChart>
      <c:lineChart>
        <c:grouping val="standard"/>
        <c:varyColors val="0"/>
        <c:ser>
          <c:idx val="2"/>
          <c:order val="2"/>
          <c:tx>
            <c:strRef>
              <c:f>Sheet1!$D$1</c:f>
              <c:strCache>
                <c:ptCount val="1"/>
                <c:pt idx="0">
                  <c:v>结案率</c:v>
                </c:pt>
              </c:strCache>
            </c:strRef>
          </c:tx>
          <c:spPr>
            <a:ln w="31750" cap="rnd" cmpd="sng" algn="ctr">
              <a:solidFill>
                <a:srgbClr val="FF0000"/>
              </a:solidFill>
              <a:prstDash val="solid"/>
              <a:round/>
            </a:ln>
            <a:effectLst>
              <a:outerShdw blurRad="40000" dist="23000" dir="5400000" rotWithShape="0">
                <a:srgbClr val="000000">
                  <a:alpha val="35000"/>
                </a:srgbClr>
              </a:outerShdw>
            </a:effectLst>
          </c:spPr>
          <c:marker>
            <c:symbol val="none"/>
          </c:marker>
          <c:dLbls>
            <c:delete val="1"/>
          </c:dLbls>
          <c:cat>
            <c:strRef>
              <c:f>Sheet1!$A$2:$A$7</c:f>
              <c:strCache>
                <c:ptCount val="6"/>
                <c:pt idx="0">
                  <c:v>院领导</c:v>
                </c:pt>
                <c:pt idx="1">
                  <c:v>刑庭</c:v>
                </c:pt>
                <c:pt idx="2">
                  <c:v>民事庭</c:v>
                </c:pt>
                <c:pt idx="3">
                  <c:v>行政庭</c:v>
                </c:pt>
                <c:pt idx="4">
                  <c:v>立案庭</c:v>
                </c:pt>
                <c:pt idx="5">
                  <c:v>执行局</c:v>
                </c:pt>
              </c:strCache>
            </c:strRef>
          </c:cat>
          <c:val>
            <c:numRef>
              <c:f>Sheet1!$D$2:$D$7</c:f>
              <c:numCache>
                <c:formatCode>0.00%</c:formatCode>
                <c:ptCount val="6"/>
                <c:pt idx="0">
                  <c:v>0.871212121212121</c:v>
                </c:pt>
                <c:pt idx="1">
                  <c:v>0.934426229508197</c:v>
                </c:pt>
                <c:pt idx="2">
                  <c:v>0.81</c:v>
                </c:pt>
                <c:pt idx="3">
                  <c:v>0.791773778920309</c:v>
                </c:pt>
                <c:pt idx="4">
                  <c:v>0.93359375</c:v>
                </c:pt>
                <c:pt idx="5">
                  <c:v>0.828767123287671</c:v>
                </c:pt>
              </c:numCache>
            </c:numRef>
          </c:val>
          <c:smooth val="0"/>
        </c:ser>
        <c:dLbls>
          <c:showLegendKey val="0"/>
          <c:showVal val="0"/>
          <c:showCatName val="0"/>
          <c:showSerName val="0"/>
          <c:showPercent val="0"/>
          <c:showBubbleSize val="0"/>
        </c:dLbls>
        <c:marker val="0"/>
        <c:smooth val="0"/>
        <c:axId val="203183232"/>
        <c:axId val="203184768"/>
      </c:lineChart>
      <c:catAx>
        <c:axId val="203171712"/>
        <c:scaling>
          <c:orientation val="minMax"/>
        </c:scaling>
        <c:delete val="0"/>
        <c:axPos val="b"/>
        <c:numFmt formatCode="General" sourceLinked="0"/>
        <c:majorTickMark val="out"/>
        <c:minorTickMark val="none"/>
        <c:tickLblPos val="nextTo"/>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2"/>
                </a:solidFill>
                <a:latin typeface="+mn-lt"/>
                <a:ea typeface="+mn-ea"/>
                <a:cs typeface="+mn-cs"/>
              </a:defRPr>
            </a:pPr>
          </a:p>
        </c:txPr>
        <c:crossAx val="203173248"/>
        <c:crosses val="autoZero"/>
        <c:auto val="1"/>
        <c:lblAlgn val="ctr"/>
        <c:lblOffset val="100"/>
        <c:noMultiLvlLbl val="0"/>
      </c:catAx>
      <c:valAx>
        <c:axId val="203173248"/>
        <c:scaling>
          <c:orientation val="minMax"/>
          <c:max val="1000"/>
        </c:scaling>
        <c:delete val="0"/>
        <c:axPos val="l"/>
        <c:majorGridlines>
          <c:spPr>
            <a:ln w="9525" cap="flat" cmpd="sng" algn="ctr">
              <a:solidFill>
                <a:schemeClr val="tx2">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2"/>
                </a:solidFill>
                <a:latin typeface="+mn-lt"/>
                <a:ea typeface="+mn-ea"/>
                <a:cs typeface="+mn-cs"/>
              </a:defRPr>
            </a:pPr>
          </a:p>
        </c:txPr>
        <c:crossAx val="203171712"/>
        <c:crosses val="autoZero"/>
        <c:crossBetween val="between"/>
      </c:valAx>
      <c:catAx>
        <c:axId val="203183232"/>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crossAx val="203184768"/>
        <c:crosses val="autoZero"/>
        <c:auto val="1"/>
        <c:lblAlgn val="ctr"/>
        <c:lblOffset val="100"/>
        <c:noMultiLvlLbl val="0"/>
      </c:catAx>
      <c:valAx>
        <c:axId val="203184768"/>
        <c:scaling>
          <c:orientation val="minMax"/>
        </c:scaling>
        <c:delete val="0"/>
        <c:axPos val="r"/>
        <c:numFmt formatCode="0.00%"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2"/>
                </a:solidFill>
                <a:latin typeface="+mn-lt"/>
                <a:ea typeface="+mn-ea"/>
                <a:cs typeface="+mn-cs"/>
              </a:defRPr>
            </a:pPr>
          </a:p>
        </c:txPr>
        <c:crossAx val="203183232"/>
        <c:crosses val="max"/>
        <c:crossBetween val="between"/>
      </c:valAx>
      <c:dTable>
        <c:showHorzBorder val="1"/>
        <c:showVertBorder val="1"/>
        <c:showOutline val="1"/>
        <c:showKeys val="1"/>
        <c:spPr>
          <a:noFill/>
          <a:ln w="9525" cap="flat" cmpd="sng" algn="ctr">
            <a:solidFill>
              <a:schemeClr val="tx2">
                <a:lumMod val="15000"/>
                <a:lumOff val="85000"/>
              </a:schemeClr>
            </a:solidFill>
            <a:prstDash val="solid"/>
            <a:round/>
          </a:ln>
          <a:effectLst/>
        </c:spPr>
        <c:txPr>
          <a:bodyPr rot="0" spcFirstLastPara="1" vertOverflow="ellipsis" vert="horz" wrap="square" anchor="ctr" anchorCtr="1"/>
          <a:lstStyle/>
          <a:p>
            <a:pPr>
              <a:defRPr lang="zh-CN" sz="800" b="0" i="0" u="none" strike="noStrike" kern="1200" baseline="0">
                <a:solidFill>
                  <a:schemeClr val="tx2"/>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sz="700"/>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cap="all" spc="150" baseline="0">
                <a:solidFill>
                  <a:sysClr val="windowText" lastClr="000000"/>
                </a:solidFill>
                <a:latin typeface="微软雅黑" panose="020B0503020204020204" pitchFamily="2" charset="-122"/>
                <a:ea typeface="微软雅黑" panose="020B0503020204020204" pitchFamily="2" charset="-122"/>
                <a:cs typeface="+mn-cs"/>
              </a:defRPr>
            </a:pPr>
            <a:r>
              <a:rPr lang="zh-CN" sz="1400" b="0">
                <a:solidFill>
                  <a:sysClr val="windowText" lastClr="000000"/>
                </a:solidFill>
              </a:rPr>
              <a:t>人均结案情况图例</a:t>
            </a:r>
            <a:endParaRPr lang="zh-CN" sz="1400" b="0">
              <a:solidFill>
                <a:sysClr val="windowText" lastClr="000000"/>
              </a:solidFill>
            </a:endParaRPr>
          </a:p>
        </c:rich>
      </c:tx>
      <c:layout>
        <c:manualLayout>
          <c:xMode val="edge"/>
          <c:yMode val="edge"/>
          <c:x val="0.335941443715295"/>
          <c:y val="0"/>
        </c:manualLayout>
      </c:layout>
      <c:overlay val="0"/>
      <c:spPr>
        <a:noFill/>
        <a:ln>
          <a:noFill/>
        </a:ln>
        <a:effectLst/>
      </c:spPr>
    </c:title>
    <c:autoTitleDeleted val="0"/>
    <c:plotArea>
      <c:layout>
        <c:manualLayout>
          <c:layoutTarget val="inner"/>
          <c:xMode val="edge"/>
          <c:yMode val="edge"/>
          <c:x val="0.0694829224085505"/>
          <c:y val="0.150734616315537"/>
          <c:w val="0.923525709367895"/>
          <c:h val="0.696944119722118"/>
        </c:manualLayout>
      </c:layout>
      <c:lineChart>
        <c:grouping val="standard"/>
        <c:varyColors val="0"/>
        <c:ser>
          <c:idx val="0"/>
          <c:order val="0"/>
          <c:tx>
            <c:strRef>
              <c:f>Sheet1!$A$3</c:f>
              <c:strCache>
                <c:ptCount val="1"/>
                <c:pt idx="0">
                  <c:v>结案数</c:v>
                </c:pt>
              </c:strCache>
            </c:strRef>
          </c:tx>
          <c:spPr>
            <a:ln w="38100" cap="flat" cmpd="dbl" algn="ctr">
              <a:solidFill>
                <a:srgbClr val="00B0F0"/>
              </a:solidFill>
              <a:prstDash val="solid"/>
              <a:miter lim="800000"/>
            </a:ln>
            <a:effectLst/>
          </c:spPr>
          <c:marker>
            <c:symbol val="none"/>
          </c:marker>
          <c:dLbls>
            <c:delete val="1"/>
          </c:dLbls>
          <c:cat>
            <c:strRef>
              <c:f>Sheet1!$B$1:$G$1</c:f>
              <c:strCache>
                <c:ptCount val="6"/>
                <c:pt idx="0">
                  <c:v>院领导</c:v>
                </c:pt>
                <c:pt idx="1">
                  <c:v>立案庭</c:v>
                </c:pt>
                <c:pt idx="2">
                  <c:v>刑庭</c:v>
                </c:pt>
                <c:pt idx="3">
                  <c:v>民一庭</c:v>
                </c:pt>
                <c:pt idx="4">
                  <c:v>行政庭</c:v>
                </c:pt>
                <c:pt idx="5">
                  <c:v>执行局</c:v>
                </c:pt>
              </c:strCache>
            </c:strRef>
          </c:cat>
          <c:val>
            <c:numRef>
              <c:f>Sheet1!$B$3:$G$3</c:f>
              <c:numCache>
                <c:formatCode>General</c:formatCode>
                <c:ptCount val="6"/>
                <c:pt idx="0">
                  <c:v>115</c:v>
                </c:pt>
                <c:pt idx="1">
                  <c:v>226</c:v>
                </c:pt>
                <c:pt idx="2">
                  <c:v>57</c:v>
                </c:pt>
                <c:pt idx="3">
                  <c:v>243</c:v>
                </c:pt>
                <c:pt idx="4">
                  <c:v>308</c:v>
                </c:pt>
                <c:pt idx="5">
                  <c:v>545</c:v>
                </c:pt>
              </c:numCache>
            </c:numRef>
          </c:val>
          <c:smooth val="0"/>
        </c:ser>
        <c:ser>
          <c:idx val="1"/>
          <c:order val="1"/>
          <c:tx>
            <c:strRef>
              <c:f>Sheet1!$A$2</c:f>
              <c:strCache>
                <c:ptCount val="1"/>
                <c:pt idx="0">
                  <c:v>人数</c:v>
                </c:pt>
              </c:strCache>
            </c:strRef>
          </c:tx>
          <c:spPr>
            <a:ln w="38100" cap="flat" cmpd="dbl" algn="ctr">
              <a:solidFill>
                <a:schemeClr val="accent6"/>
              </a:solidFill>
              <a:prstDash val="solid"/>
              <a:miter lim="800000"/>
            </a:ln>
            <a:effectLst/>
          </c:spPr>
          <c:marker>
            <c:symbol val="none"/>
          </c:marker>
          <c:dLbls>
            <c:delete val="1"/>
          </c:dLbls>
          <c:cat>
            <c:strRef>
              <c:f>Sheet1!$B$1:$G$1</c:f>
              <c:strCache>
                <c:ptCount val="6"/>
                <c:pt idx="0">
                  <c:v>院领导</c:v>
                </c:pt>
                <c:pt idx="1">
                  <c:v>立案庭</c:v>
                </c:pt>
                <c:pt idx="2">
                  <c:v>刑庭</c:v>
                </c:pt>
                <c:pt idx="3">
                  <c:v>民一庭</c:v>
                </c:pt>
                <c:pt idx="4">
                  <c:v>行政庭</c:v>
                </c:pt>
                <c:pt idx="5">
                  <c:v>执行局</c:v>
                </c:pt>
              </c:strCache>
            </c:strRef>
          </c:cat>
          <c:val>
            <c:numRef>
              <c:f>Sheet1!$B$2:$G$2</c:f>
              <c:numCache>
                <c:formatCode>General</c:formatCode>
                <c:ptCount val="6"/>
                <c:pt idx="0">
                  <c:v>5</c:v>
                </c:pt>
                <c:pt idx="1">
                  <c:v>2</c:v>
                </c:pt>
                <c:pt idx="2">
                  <c:v>2</c:v>
                </c:pt>
                <c:pt idx="3">
                  <c:v>3</c:v>
                </c:pt>
                <c:pt idx="4">
                  <c:v>4</c:v>
                </c:pt>
                <c:pt idx="5">
                  <c:v>5</c:v>
                </c:pt>
              </c:numCache>
            </c:numRef>
          </c:val>
          <c:smooth val="0"/>
        </c:ser>
        <c:ser>
          <c:idx val="2"/>
          <c:order val="2"/>
          <c:tx>
            <c:strRef>
              <c:f>Sheet1!$A$4</c:f>
              <c:strCache>
                <c:ptCount val="1"/>
                <c:pt idx="0">
                  <c:v>人均结案数</c:v>
                </c:pt>
              </c:strCache>
            </c:strRef>
          </c:tx>
          <c:spPr>
            <a:ln w="38100" cap="flat" cmpd="dbl" algn="ctr">
              <a:solidFill>
                <a:srgbClr val="92D050"/>
              </a:solidFill>
              <a:prstDash val="solid"/>
              <a:miter lim="800000"/>
            </a:ln>
            <a:effectLst/>
          </c:spPr>
          <c:marker>
            <c:symbol val="none"/>
          </c:marker>
          <c:dLbls>
            <c:delete val="1"/>
          </c:dLbls>
          <c:cat>
            <c:strRef>
              <c:f>Sheet1!$B$1:$G$1</c:f>
              <c:strCache>
                <c:ptCount val="6"/>
                <c:pt idx="0">
                  <c:v>院领导</c:v>
                </c:pt>
                <c:pt idx="1">
                  <c:v>立案庭</c:v>
                </c:pt>
                <c:pt idx="2">
                  <c:v>刑庭</c:v>
                </c:pt>
                <c:pt idx="3">
                  <c:v>民一庭</c:v>
                </c:pt>
                <c:pt idx="4">
                  <c:v>行政庭</c:v>
                </c:pt>
                <c:pt idx="5">
                  <c:v>执行局</c:v>
                </c:pt>
              </c:strCache>
            </c:strRef>
          </c:cat>
          <c:val>
            <c:numRef>
              <c:f>Sheet1!$B$4:$G$4</c:f>
              <c:numCache>
                <c:formatCode>0.00_ </c:formatCode>
                <c:ptCount val="6"/>
                <c:pt idx="0">
                  <c:v>23</c:v>
                </c:pt>
                <c:pt idx="1">
                  <c:v>113</c:v>
                </c:pt>
                <c:pt idx="2">
                  <c:v>28.5</c:v>
                </c:pt>
                <c:pt idx="3">
                  <c:v>81</c:v>
                </c:pt>
                <c:pt idx="4">
                  <c:v>77</c:v>
                </c:pt>
                <c:pt idx="5">
                  <c:v>109</c:v>
                </c:pt>
              </c:numCache>
            </c:numRef>
          </c:val>
          <c:smooth val="0"/>
        </c:ser>
        <c:dLbls>
          <c:showLegendKey val="0"/>
          <c:showVal val="0"/>
          <c:showCatName val="0"/>
          <c:showSerName val="0"/>
          <c:showPercent val="0"/>
          <c:showBubbleSize val="0"/>
        </c:dLbls>
        <c:marker val="0"/>
        <c:smooth val="0"/>
        <c:axId val="203342976"/>
        <c:axId val="203344512"/>
      </c:lineChart>
      <c:catAx>
        <c:axId val="203342976"/>
        <c:scaling>
          <c:orientation val="minMax"/>
        </c:scaling>
        <c:delete val="0"/>
        <c:axPos val="b"/>
        <c:majorGridlines>
          <c:spPr>
            <a:ln w="9525" cap="flat" cmpd="sng" algn="ctr">
              <a:solidFill>
                <a:schemeClr val="tx1">
                  <a:lumMod val="15000"/>
                  <a:lumOff val="85000"/>
                  <a:alpha val="32000"/>
                </a:schemeClr>
              </a:solidFill>
              <a:prstDash val="solid"/>
              <a:round/>
            </a:ln>
            <a:effectLst/>
          </c:spPr>
        </c:majorGridlines>
        <c:minorGridlines>
          <c:spPr>
            <a:ln w="9525" cap="flat" cmpd="sng" algn="ctr">
              <a:noFill/>
              <a:prstDash val="solid"/>
              <a:round/>
            </a:ln>
            <a:effectLst/>
          </c:spPr>
        </c:minorGridlines>
        <c:numFmt formatCode="General" sourceLinked="1"/>
        <c:majorTickMark val="none"/>
        <c:minorTickMark val="none"/>
        <c:tickLblPos val="low"/>
        <c:spPr>
          <a:noFill/>
          <a:ln w="3175" cap="flat" cmpd="sng" algn="ctr">
            <a:solidFill>
              <a:schemeClr val="tx1"/>
            </a:solidFill>
            <a:prstDash val="solid"/>
            <a:round/>
            <a:tailEnd type="none" w="med" len="lg"/>
          </a:ln>
          <a:effectLst/>
        </c:spPr>
        <c:txPr>
          <a:bodyPr rot="0" spcFirstLastPara="1"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mn-cs"/>
              </a:defRPr>
            </a:pPr>
          </a:p>
        </c:txPr>
        <c:crossAx val="203344512"/>
        <c:crossesAt val="0"/>
        <c:auto val="1"/>
        <c:lblAlgn val="ctr"/>
        <c:lblOffset val="100"/>
        <c:noMultiLvlLbl val="0"/>
      </c:catAx>
      <c:valAx>
        <c:axId val="203344512"/>
        <c:scaling>
          <c:orientation val="minMax"/>
        </c:scaling>
        <c:delete val="0"/>
        <c:axPos val="l"/>
        <c:majorGridlines>
          <c:spPr>
            <a:ln w="9525" cap="flat" cmpd="sng" algn="ctr">
              <a:solidFill>
                <a:schemeClr val="tx1">
                  <a:lumMod val="15000"/>
                  <a:lumOff val="85000"/>
                  <a:alpha val="32000"/>
                </a:schemeClr>
              </a:solidFill>
              <a:prstDash val="solid"/>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prstDash val="solid"/>
            <a:round/>
            <a:tailEnd type="none" w="med" len="lg"/>
          </a:ln>
          <a:effectLst/>
        </c:spPr>
        <c:txPr>
          <a:bodyPr rot="-12000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mn-cs"/>
              </a:defRPr>
            </a:pPr>
          </a:p>
        </c:txPr>
        <c:crossAx val="203342976"/>
        <c:crosses val="autoZero"/>
        <c:crossBetween val="between"/>
        <c:majorUnit val="100"/>
        <c:minorUnit val="50"/>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2" charset="-122"/>
                <a:ea typeface="微软雅黑" panose="020B0503020204020204" pitchFamily="2" charset="-122"/>
                <a:cs typeface="+mn-cs"/>
              </a:defRPr>
            </a:pPr>
          </a:p>
        </c:txPr>
      </c:dTable>
      <c:spPr>
        <a:noFill/>
        <a:ln>
          <a:noFill/>
        </a:ln>
        <a:effectLst/>
      </c:spPr>
    </c:plotArea>
    <c:legend>
      <c:legendPos val="r"/>
      <c:layout>
        <c:manualLayout>
          <c:xMode val="edge"/>
          <c:yMode val="edge"/>
          <c:x val="0.220034614409582"/>
          <c:y val="0.179361107134335"/>
          <c:w val="0.552318806804941"/>
          <c:h val="0.0692535433070866"/>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atin typeface="微软雅黑" panose="020B0503020204020204" pitchFamily="2" charset="-122"/>
          <a:ea typeface="微软雅黑" panose="020B0503020204020204" pitchFamily="2"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1400" b="1" i="0" u="none" strike="noStrike" kern="1200" baseline="0">
                <a:solidFill>
                  <a:schemeClr val="tx2"/>
                </a:solidFill>
                <a:latin typeface="+mn-lt"/>
                <a:ea typeface="+mn-ea"/>
                <a:cs typeface="+mn-cs"/>
              </a:defRPr>
            </a:pPr>
            <a:r>
              <a:rPr lang="zh-CN" altLang="zh-CN" sz="1400" b="1" i="0" baseline="0">
                <a:effectLst/>
              </a:rPr>
              <a:t>诉讼案件平均审理天数</a:t>
            </a:r>
            <a:r>
              <a:rPr lang="zh-CN" altLang="en-US" sz="1400" b="1" i="0" baseline="0">
                <a:effectLst/>
              </a:rPr>
              <a:t>趋势</a:t>
            </a:r>
            <a:r>
              <a:rPr lang="zh-CN" altLang="zh-CN" sz="1400" b="1" i="0" baseline="0">
                <a:effectLst/>
              </a:rPr>
              <a:t>图例</a:t>
            </a:r>
            <a:endParaRPr lang="zh-CN" altLang="zh-CN" sz="1400">
              <a:effectLst/>
            </a:endParaRPr>
          </a:p>
        </c:rich>
      </c:tx>
      <c:layout>
        <c:manualLayout>
          <c:xMode val="edge"/>
          <c:yMode val="edge"/>
          <c:x val="0.279658683828861"/>
          <c:y val="0.0142410559221952"/>
        </c:manualLayout>
      </c:layout>
      <c:overlay val="0"/>
      <c:spPr>
        <a:noFill/>
        <a:ln>
          <a:noFill/>
        </a:ln>
        <a:effectLst/>
      </c:spPr>
    </c:title>
    <c:autoTitleDeleted val="0"/>
    <c:plotArea>
      <c:layout>
        <c:manualLayout>
          <c:layoutTarget val="inner"/>
          <c:xMode val="edge"/>
          <c:yMode val="edge"/>
          <c:x val="0.179730239303843"/>
          <c:y val="0.134815773099426"/>
          <c:w val="0.809392313270486"/>
          <c:h val="0.417266879445641"/>
        </c:manualLayout>
      </c:layout>
      <c:lineChart>
        <c:grouping val="standard"/>
        <c:varyColors val="0"/>
        <c:ser>
          <c:idx val="1"/>
          <c:order val="0"/>
          <c:tx>
            <c:strRef>
              <c:f>Sheet1!$A$2</c:f>
              <c:strCache>
                <c:ptCount val="1"/>
                <c:pt idx="0">
                  <c:v>院领导</c:v>
                </c:pt>
              </c:strCache>
            </c:strRef>
          </c:tx>
          <c:spPr>
            <a:ln w="31750" cap="rnd" cmpd="sng" algn="ctr">
              <a:solidFill>
                <a:srgbClr val="1D41D5"/>
              </a:solidFill>
              <a:prstDash val="solid"/>
              <a:round/>
            </a:ln>
            <a:effectLst>
              <a:outerShdw blurRad="40000" dist="23000" dir="5400000" rotWithShape="0">
                <a:srgbClr val="000000">
                  <a:alpha val="35000"/>
                </a:srgbClr>
              </a:outerShdw>
            </a:effectLst>
          </c:spPr>
          <c:marker>
            <c:symbol val="none"/>
          </c:marker>
          <c:dLbls>
            <c:delete val="1"/>
          </c:dLbls>
          <c:cat>
            <c:strRef>
              <c:f>Sheet1!$B$1:$M$1</c:f>
              <c:strCache>
                <c:ptCount val="12"/>
                <c:pt idx="0">
                  <c:v>一月</c:v>
                </c:pt>
                <c:pt idx="1">
                  <c:v>二月</c:v>
                </c:pt>
                <c:pt idx="2">
                  <c:v>三月</c:v>
                </c:pt>
                <c:pt idx="3">
                  <c:v>四月</c:v>
                </c:pt>
                <c:pt idx="4">
                  <c:v>五月</c:v>
                </c:pt>
                <c:pt idx="5">
                  <c:v>六月</c:v>
                </c:pt>
                <c:pt idx="6">
                  <c:v>七月</c:v>
                </c:pt>
                <c:pt idx="7">
                  <c:v>八月</c:v>
                </c:pt>
                <c:pt idx="8">
                  <c:v>九月</c:v>
                </c:pt>
                <c:pt idx="9">
                  <c:v>十月</c:v>
                </c:pt>
                <c:pt idx="10">
                  <c:v>十一月</c:v>
                </c:pt>
                <c:pt idx="11">
                  <c:v>十二月</c:v>
                </c:pt>
              </c:strCache>
            </c:strRef>
          </c:cat>
          <c:val>
            <c:numRef>
              <c:f>Sheet1!$B$2:$M$2</c:f>
              <c:numCache>
                <c:formatCode>General</c:formatCode>
                <c:ptCount val="12"/>
                <c:pt idx="0">
                  <c:v>55.7</c:v>
                </c:pt>
                <c:pt idx="1">
                  <c:v>62.1</c:v>
                </c:pt>
                <c:pt idx="2">
                  <c:v>53.4</c:v>
                </c:pt>
                <c:pt idx="3">
                  <c:v>51.2</c:v>
                </c:pt>
                <c:pt idx="4">
                  <c:v>51.6</c:v>
                </c:pt>
                <c:pt idx="5">
                  <c:v>51.5</c:v>
                </c:pt>
                <c:pt idx="6">
                  <c:v>43.8</c:v>
                </c:pt>
                <c:pt idx="7">
                  <c:v>36.9</c:v>
                </c:pt>
                <c:pt idx="8">
                  <c:v>38.3</c:v>
                </c:pt>
              </c:numCache>
            </c:numRef>
          </c:val>
          <c:smooth val="0"/>
        </c:ser>
        <c:ser>
          <c:idx val="0"/>
          <c:order val="1"/>
          <c:tx>
            <c:strRef>
              <c:f>Sheet1!$A$3</c:f>
              <c:strCache>
                <c:ptCount val="1"/>
                <c:pt idx="0">
                  <c:v>立案庭</c:v>
                </c:pt>
              </c:strCache>
            </c:strRef>
          </c:tx>
          <c:spPr>
            <a:ln w="31750" cap="rnd" cmpd="sng" algn="ctr">
              <a:solidFill>
                <a:srgbClr val="00B0F0"/>
              </a:solidFill>
              <a:prstDash val="solid"/>
              <a:round/>
            </a:ln>
            <a:effectLst>
              <a:outerShdw blurRad="40000" dist="23000" dir="5400000" rotWithShape="0">
                <a:srgbClr val="000000">
                  <a:alpha val="35000"/>
                </a:srgbClr>
              </a:outerShdw>
            </a:effectLst>
          </c:spPr>
          <c:marker>
            <c:symbol val="none"/>
          </c:marker>
          <c:dLbls>
            <c:delete val="1"/>
          </c:dLbls>
          <c:cat>
            <c:strRef>
              <c:f>Sheet1!$B$1:$M$1</c:f>
              <c:strCache>
                <c:ptCount val="12"/>
                <c:pt idx="0">
                  <c:v>一月</c:v>
                </c:pt>
                <c:pt idx="1">
                  <c:v>二月</c:v>
                </c:pt>
                <c:pt idx="2">
                  <c:v>三月</c:v>
                </c:pt>
                <c:pt idx="3">
                  <c:v>四月</c:v>
                </c:pt>
                <c:pt idx="4">
                  <c:v>五月</c:v>
                </c:pt>
                <c:pt idx="5">
                  <c:v>六月</c:v>
                </c:pt>
                <c:pt idx="6">
                  <c:v>七月</c:v>
                </c:pt>
                <c:pt idx="7">
                  <c:v>八月</c:v>
                </c:pt>
                <c:pt idx="8">
                  <c:v>九月</c:v>
                </c:pt>
                <c:pt idx="9">
                  <c:v>十月</c:v>
                </c:pt>
                <c:pt idx="10">
                  <c:v>十一月</c:v>
                </c:pt>
                <c:pt idx="11">
                  <c:v>十二月</c:v>
                </c:pt>
              </c:strCache>
            </c:strRef>
          </c:cat>
          <c:val>
            <c:numRef>
              <c:f>Sheet1!$B$3:$M$3</c:f>
              <c:numCache>
                <c:formatCode>General</c:formatCode>
                <c:ptCount val="12"/>
                <c:pt idx="0">
                  <c:v>15.6</c:v>
                </c:pt>
                <c:pt idx="1">
                  <c:v>21.1</c:v>
                </c:pt>
                <c:pt idx="2">
                  <c:v>25.1</c:v>
                </c:pt>
                <c:pt idx="3">
                  <c:v>28</c:v>
                </c:pt>
                <c:pt idx="4">
                  <c:v>28.9</c:v>
                </c:pt>
                <c:pt idx="5">
                  <c:v>29.8</c:v>
                </c:pt>
                <c:pt idx="6">
                  <c:v>29.1</c:v>
                </c:pt>
                <c:pt idx="7">
                  <c:v>26.1</c:v>
                </c:pt>
                <c:pt idx="8">
                  <c:v>24.2</c:v>
                </c:pt>
              </c:numCache>
            </c:numRef>
          </c:val>
          <c:smooth val="0"/>
        </c:ser>
        <c:ser>
          <c:idx val="2"/>
          <c:order val="2"/>
          <c:tx>
            <c:strRef>
              <c:f>Sheet1!$A$4</c:f>
              <c:strCache>
                <c:ptCount val="1"/>
                <c:pt idx="0">
                  <c:v>刑庭</c:v>
                </c:pt>
              </c:strCache>
            </c:strRef>
          </c:tx>
          <c:spPr>
            <a:ln w="31750" cap="rnd" cmpd="sng" algn="ctr">
              <a:solidFill>
                <a:srgbClr val="D640CD"/>
              </a:solidFill>
              <a:prstDash val="solid"/>
              <a:round/>
            </a:ln>
            <a:effectLst>
              <a:outerShdw blurRad="40000" dist="23000" dir="5400000" rotWithShape="0">
                <a:srgbClr val="000000">
                  <a:alpha val="35000"/>
                </a:srgbClr>
              </a:outerShdw>
            </a:effectLst>
          </c:spPr>
          <c:marker>
            <c:symbol val="none"/>
          </c:marker>
          <c:dLbls>
            <c:delete val="1"/>
          </c:dLbls>
          <c:cat>
            <c:strRef>
              <c:f>Sheet1!$B$1:$M$1</c:f>
              <c:strCache>
                <c:ptCount val="12"/>
                <c:pt idx="0">
                  <c:v>一月</c:v>
                </c:pt>
                <c:pt idx="1">
                  <c:v>二月</c:v>
                </c:pt>
                <c:pt idx="2">
                  <c:v>三月</c:v>
                </c:pt>
                <c:pt idx="3">
                  <c:v>四月</c:v>
                </c:pt>
                <c:pt idx="4">
                  <c:v>五月</c:v>
                </c:pt>
                <c:pt idx="5">
                  <c:v>六月</c:v>
                </c:pt>
                <c:pt idx="6">
                  <c:v>七月</c:v>
                </c:pt>
                <c:pt idx="7">
                  <c:v>八月</c:v>
                </c:pt>
                <c:pt idx="8">
                  <c:v>九月</c:v>
                </c:pt>
                <c:pt idx="9">
                  <c:v>十月</c:v>
                </c:pt>
                <c:pt idx="10">
                  <c:v>十一月</c:v>
                </c:pt>
                <c:pt idx="11">
                  <c:v>十二月</c:v>
                </c:pt>
              </c:strCache>
            </c:strRef>
          </c:cat>
          <c:val>
            <c:numRef>
              <c:f>Sheet1!$B$4:$M$4</c:f>
              <c:numCache>
                <c:formatCode>General</c:formatCode>
                <c:ptCount val="12"/>
                <c:pt idx="0">
                  <c:v>6.5</c:v>
                </c:pt>
                <c:pt idx="1">
                  <c:v>35.4</c:v>
                </c:pt>
                <c:pt idx="2">
                  <c:v>40.3</c:v>
                </c:pt>
                <c:pt idx="3">
                  <c:v>38.9</c:v>
                </c:pt>
                <c:pt idx="4">
                  <c:v>42.7</c:v>
                </c:pt>
                <c:pt idx="5">
                  <c:v>33.4</c:v>
                </c:pt>
                <c:pt idx="6">
                  <c:v>30</c:v>
                </c:pt>
                <c:pt idx="7">
                  <c:v>29.7</c:v>
                </c:pt>
                <c:pt idx="8">
                  <c:v>27.3</c:v>
                </c:pt>
              </c:numCache>
            </c:numRef>
          </c:val>
          <c:smooth val="0"/>
        </c:ser>
        <c:ser>
          <c:idx val="5"/>
          <c:order val="3"/>
          <c:tx>
            <c:strRef>
              <c:f>Sheet1!$A$5</c:f>
              <c:strCache>
                <c:ptCount val="1"/>
                <c:pt idx="0">
                  <c:v>民一庭</c:v>
                </c:pt>
              </c:strCache>
            </c:strRef>
          </c:tx>
          <c:spPr>
            <a:ln w="31750" cap="rnd" cmpd="sng" algn="ctr">
              <a:solidFill>
                <a:schemeClr val="accent4">
                  <a:lumMod val="60000"/>
                </a:schemeClr>
              </a:solidFill>
              <a:prstDash val="solid"/>
              <a:round/>
            </a:ln>
            <a:effectLst>
              <a:outerShdw blurRad="40000" dist="23000" dir="5400000" rotWithShape="0">
                <a:srgbClr val="000000">
                  <a:alpha val="35000"/>
                </a:srgbClr>
              </a:outerShdw>
            </a:effectLst>
          </c:spPr>
          <c:marker>
            <c:symbol val="none"/>
          </c:marker>
          <c:dLbls>
            <c:delete val="1"/>
          </c:dLbls>
          <c:cat>
            <c:strRef>
              <c:f>Sheet1!$B$1:$M$1</c:f>
              <c:strCache>
                <c:ptCount val="12"/>
                <c:pt idx="0">
                  <c:v>一月</c:v>
                </c:pt>
                <c:pt idx="1">
                  <c:v>二月</c:v>
                </c:pt>
                <c:pt idx="2">
                  <c:v>三月</c:v>
                </c:pt>
                <c:pt idx="3">
                  <c:v>四月</c:v>
                </c:pt>
                <c:pt idx="4">
                  <c:v>五月</c:v>
                </c:pt>
                <c:pt idx="5">
                  <c:v>六月</c:v>
                </c:pt>
                <c:pt idx="6">
                  <c:v>七月</c:v>
                </c:pt>
                <c:pt idx="7">
                  <c:v>八月</c:v>
                </c:pt>
                <c:pt idx="8">
                  <c:v>九月</c:v>
                </c:pt>
                <c:pt idx="9">
                  <c:v>十月</c:v>
                </c:pt>
                <c:pt idx="10">
                  <c:v>十一月</c:v>
                </c:pt>
                <c:pt idx="11">
                  <c:v>十二月</c:v>
                </c:pt>
              </c:strCache>
            </c:strRef>
          </c:cat>
          <c:val>
            <c:numRef>
              <c:f>Sheet1!$B$5:$M$5</c:f>
              <c:numCache>
                <c:formatCode>General</c:formatCode>
                <c:ptCount val="12"/>
                <c:pt idx="0">
                  <c:v>80.4</c:v>
                </c:pt>
                <c:pt idx="1">
                  <c:v>72.5</c:v>
                </c:pt>
                <c:pt idx="2">
                  <c:v>62.9</c:v>
                </c:pt>
                <c:pt idx="3">
                  <c:v>67.5</c:v>
                </c:pt>
                <c:pt idx="4">
                  <c:v>69.1</c:v>
                </c:pt>
                <c:pt idx="5">
                  <c:v>64.7</c:v>
                </c:pt>
                <c:pt idx="6">
                  <c:v>60.6</c:v>
                </c:pt>
                <c:pt idx="7">
                  <c:v>61</c:v>
                </c:pt>
                <c:pt idx="8">
                  <c:v>58.8</c:v>
                </c:pt>
              </c:numCache>
            </c:numRef>
          </c:val>
          <c:smooth val="0"/>
        </c:ser>
        <c:ser>
          <c:idx val="3"/>
          <c:order val="4"/>
          <c:tx>
            <c:strRef>
              <c:f>Sheet1!$A$6</c:f>
              <c:strCache>
                <c:ptCount val="1"/>
                <c:pt idx="0">
                  <c:v>行政庭</c:v>
                </c:pt>
              </c:strCache>
            </c:strRef>
          </c:tx>
          <c:spPr>
            <a:ln w="31750" cap="rnd" cmpd="sng" algn="ctr">
              <a:solidFill>
                <a:srgbClr val="00B050"/>
              </a:solidFill>
              <a:prstDash val="solid"/>
              <a:round/>
            </a:ln>
            <a:effectLst>
              <a:outerShdw blurRad="40000" dist="23000" dir="5400000" rotWithShape="0">
                <a:srgbClr val="000000">
                  <a:alpha val="35000"/>
                </a:srgbClr>
              </a:outerShdw>
            </a:effectLst>
          </c:spPr>
          <c:marker>
            <c:symbol val="none"/>
          </c:marker>
          <c:dLbls>
            <c:delete val="1"/>
          </c:dLbls>
          <c:cat>
            <c:strRef>
              <c:f>Sheet1!$B$1:$M$1</c:f>
              <c:strCache>
                <c:ptCount val="12"/>
                <c:pt idx="0">
                  <c:v>一月</c:v>
                </c:pt>
                <c:pt idx="1">
                  <c:v>二月</c:v>
                </c:pt>
                <c:pt idx="2">
                  <c:v>三月</c:v>
                </c:pt>
                <c:pt idx="3">
                  <c:v>四月</c:v>
                </c:pt>
                <c:pt idx="4">
                  <c:v>五月</c:v>
                </c:pt>
                <c:pt idx="5">
                  <c:v>六月</c:v>
                </c:pt>
                <c:pt idx="6">
                  <c:v>七月</c:v>
                </c:pt>
                <c:pt idx="7">
                  <c:v>八月</c:v>
                </c:pt>
                <c:pt idx="8">
                  <c:v>九月</c:v>
                </c:pt>
                <c:pt idx="9">
                  <c:v>十月</c:v>
                </c:pt>
                <c:pt idx="10">
                  <c:v>十一月</c:v>
                </c:pt>
                <c:pt idx="11">
                  <c:v>十二月</c:v>
                </c:pt>
              </c:strCache>
            </c:strRef>
          </c:cat>
          <c:val>
            <c:numRef>
              <c:f>Sheet1!$B$6:$M$6</c:f>
              <c:numCache>
                <c:formatCode>General</c:formatCode>
                <c:ptCount val="12"/>
                <c:pt idx="0">
                  <c:v>70.9</c:v>
                </c:pt>
                <c:pt idx="1">
                  <c:v>78</c:v>
                </c:pt>
                <c:pt idx="2">
                  <c:v>80.4</c:v>
                </c:pt>
                <c:pt idx="3">
                  <c:v>76.8</c:v>
                </c:pt>
                <c:pt idx="4">
                  <c:v>77.1</c:v>
                </c:pt>
                <c:pt idx="5">
                  <c:v>77.5</c:v>
                </c:pt>
                <c:pt idx="6">
                  <c:v>77.9</c:v>
                </c:pt>
                <c:pt idx="7">
                  <c:v>79.4</c:v>
                </c:pt>
                <c:pt idx="8">
                  <c:v>78.8</c:v>
                </c:pt>
              </c:numCache>
            </c:numRef>
          </c:val>
          <c:smooth val="0"/>
        </c:ser>
        <c:ser>
          <c:idx val="4"/>
          <c:order val="5"/>
          <c:tx>
            <c:strRef>
              <c:f>Sheet1!$A$7</c:f>
              <c:strCache>
                <c:ptCount val="1"/>
                <c:pt idx="0">
                  <c:v>全院</c:v>
                </c:pt>
              </c:strCache>
            </c:strRef>
          </c:tx>
          <c:spPr>
            <a:ln w="25400" cap="rnd" cmpd="sng" algn="ctr">
              <a:solidFill>
                <a:srgbClr val="FF0000"/>
              </a:solidFill>
              <a:prstDash val="solid"/>
              <a:round/>
            </a:ln>
            <a:effectLst>
              <a:outerShdw blurRad="40000" dist="23000" dir="5400000" rotWithShape="0">
                <a:srgbClr val="000000">
                  <a:alpha val="35000"/>
                </a:srgbClr>
              </a:outerShdw>
            </a:effectLst>
          </c:spPr>
          <c:marker>
            <c:symbol val="none"/>
          </c:marker>
          <c:dLbls>
            <c:delete val="1"/>
          </c:dLbls>
          <c:cat>
            <c:strRef>
              <c:f>Sheet1!$B$1:$M$1</c:f>
              <c:strCache>
                <c:ptCount val="12"/>
                <c:pt idx="0">
                  <c:v>一月</c:v>
                </c:pt>
                <c:pt idx="1">
                  <c:v>二月</c:v>
                </c:pt>
                <c:pt idx="2">
                  <c:v>三月</c:v>
                </c:pt>
                <c:pt idx="3">
                  <c:v>四月</c:v>
                </c:pt>
                <c:pt idx="4">
                  <c:v>五月</c:v>
                </c:pt>
                <c:pt idx="5">
                  <c:v>六月</c:v>
                </c:pt>
                <c:pt idx="6">
                  <c:v>七月</c:v>
                </c:pt>
                <c:pt idx="7">
                  <c:v>八月</c:v>
                </c:pt>
                <c:pt idx="8">
                  <c:v>九月</c:v>
                </c:pt>
                <c:pt idx="9">
                  <c:v>十月</c:v>
                </c:pt>
                <c:pt idx="10">
                  <c:v>十一月</c:v>
                </c:pt>
                <c:pt idx="11">
                  <c:v>十二月</c:v>
                </c:pt>
              </c:strCache>
            </c:strRef>
          </c:cat>
          <c:val>
            <c:numRef>
              <c:f>Sheet1!$B$7:$M$7</c:f>
              <c:numCache>
                <c:formatCode>General</c:formatCode>
                <c:ptCount val="12"/>
                <c:pt idx="0">
                  <c:v>61.6</c:v>
                </c:pt>
                <c:pt idx="1">
                  <c:v>63.5</c:v>
                </c:pt>
                <c:pt idx="2">
                  <c:v>59.5</c:v>
                </c:pt>
                <c:pt idx="3">
                  <c:v>59</c:v>
                </c:pt>
                <c:pt idx="4">
                  <c:v>59.2</c:v>
                </c:pt>
                <c:pt idx="5">
                  <c:v>58.5</c:v>
                </c:pt>
                <c:pt idx="6">
                  <c:v>55.7</c:v>
                </c:pt>
                <c:pt idx="7">
                  <c:v>54.3</c:v>
                </c:pt>
                <c:pt idx="8">
                  <c:v>52.8</c:v>
                </c:pt>
              </c:numCache>
            </c:numRef>
          </c:val>
          <c:smooth val="0"/>
        </c:ser>
        <c:dLbls>
          <c:showLegendKey val="0"/>
          <c:showVal val="0"/>
          <c:showCatName val="0"/>
          <c:showSerName val="0"/>
          <c:showPercent val="0"/>
          <c:showBubbleSize val="0"/>
        </c:dLbls>
        <c:marker val="0"/>
        <c:smooth val="0"/>
        <c:axId val="203284480"/>
        <c:axId val="203286016"/>
      </c:lineChart>
      <c:catAx>
        <c:axId val="203284480"/>
        <c:scaling>
          <c:orientation val="minMax"/>
        </c:scaling>
        <c:delete val="0"/>
        <c:axPos val="b"/>
        <c:majorGridlines>
          <c:spPr>
            <a:ln w="9525" cap="flat" cmpd="sng" algn="ctr">
              <a:solidFill>
                <a:schemeClr val="tx2">
                  <a:lumMod val="15000"/>
                  <a:lumOff val="85000"/>
                </a:schemeClr>
              </a:solidFill>
              <a:prstDash val="solid"/>
              <a:round/>
            </a:ln>
            <a:effectLst/>
          </c:spPr>
        </c:majorGridlines>
        <c:numFmt formatCode="General" sourceLinked="0"/>
        <c:majorTickMark val="out"/>
        <c:minorTickMark val="none"/>
        <c:tickLblPos val="nextTo"/>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203286016"/>
        <c:crosses val="autoZero"/>
        <c:auto val="1"/>
        <c:lblAlgn val="ctr"/>
        <c:lblOffset val="100"/>
        <c:noMultiLvlLbl val="0"/>
      </c:catAx>
      <c:valAx>
        <c:axId val="203286016"/>
        <c:scaling>
          <c:orientation val="minMax"/>
        </c:scaling>
        <c:delete val="0"/>
        <c:axPos val="l"/>
        <c:majorGridlines>
          <c:spPr>
            <a:ln w="9525" cap="flat" cmpd="sng" algn="ctr">
              <a:solidFill>
                <a:schemeClr val="tx2">
                  <a:lumMod val="15000"/>
                  <a:lumOff val="85000"/>
                </a:schemeClr>
              </a:solidFill>
              <a:prstDash val="solid"/>
              <a:round/>
            </a:ln>
            <a:effectLst/>
          </c:spPr>
        </c:majorGridlines>
        <c:minorGridlines>
          <c:spPr>
            <a:ln w="9525" cap="flat" cmpd="sng" algn="ctr">
              <a:solidFill>
                <a:schemeClr val="tx2">
                  <a:lumMod val="5000"/>
                  <a:lumOff val="95000"/>
                </a:schemeClr>
              </a:solidFill>
              <a:prstDash val="solid"/>
              <a:round/>
            </a:ln>
            <a:effectLst/>
          </c:spPr>
        </c:min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203284480"/>
        <c:crosses val="autoZero"/>
        <c:crossBetween val="between"/>
      </c:valAx>
      <c:dTable>
        <c:showHorzBorder val="1"/>
        <c:showVertBorder val="1"/>
        <c:showOutline val="1"/>
        <c:showKeys val="1"/>
        <c:spPr>
          <a:noFill/>
          <a:ln w="9525" cap="flat" cmpd="sng" algn="ctr">
            <a:solidFill>
              <a:schemeClr val="tx2">
                <a:lumMod val="15000"/>
                <a:lumOff val="85000"/>
              </a:schemeClr>
            </a:solidFill>
            <a:prstDash val="solid"/>
            <a:round/>
          </a:ln>
          <a:effectLst/>
        </c:spPr>
        <c:txPr>
          <a:bodyPr rot="0" spcFirstLastPara="1" vertOverflow="ellipsis" vert="horz" wrap="square" anchor="ctr" anchorCtr="1"/>
          <a:lstStyle/>
          <a:p>
            <a:pPr>
              <a:defRPr lang="zh-CN" sz="700" b="0" i="0" u="none" strike="noStrike" kern="1200" baseline="0">
                <a:solidFill>
                  <a:schemeClr val="tx2"/>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2338F7-487B-40C2-9293-2503F9F20B2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1317</Words>
  <Characters>7513</Characters>
  <Lines>62</Lines>
  <Paragraphs>17</Paragraphs>
  <TotalTime>47</TotalTime>
  <ScaleCrop>false</ScaleCrop>
  <LinksUpToDate>false</LinksUpToDate>
  <CharactersWithSpaces>8813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2019-09-04T02:16:00Z</dcterms:created>
  <dc:creator>Administrator</dc:creator>
  <cp:lastModifiedBy>朦胧</cp:lastModifiedBy>
  <cp:lastPrinted>2019-10-09T05:35:00Z</cp:lastPrinted>
  <dcterms:modified xsi:type="dcterms:W3CDTF">2019-11-19T07:05:54Z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